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196D9" w14:textId="77777777" w:rsidR="00C61342" w:rsidRPr="001B773C" w:rsidRDefault="00C61342" w:rsidP="00C61342">
      <w:pPr>
        <w:pStyle w:val="FirmName"/>
        <w:spacing w:line="240" w:lineRule="auto"/>
        <w:ind w:right="-720"/>
        <w:rPr>
          <w:b/>
          <w:sz w:val="24"/>
          <w:szCs w:val="24"/>
        </w:rPr>
      </w:pPr>
      <w:r w:rsidRPr="001B773C">
        <w:rPr>
          <w:b/>
          <w:sz w:val="24"/>
          <w:szCs w:val="24"/>
        </w:rPr>
        <w:t>STATE OF UTAH</w:t>
      </w:r>
    </w:p>
    <w:p w14:paraId="4B94DFF8" w14:textId="77777777" w:rsidR="00C61342" w:rsidRPr="001B773C" w:rsidRDefault="00EA371E" w:rsidP="00C61342">
      <w:pPr>
        <w:pStyle w:val="Heading1"/>
        <w:ind w:right="-720"/>
        <w:rPr>
          <w:szCs w:val="24"/>
        </w:rPr>
      </w:pPr>
      <w:r w:rsidRPr="001B773C">
        <w:rPr>
          <w:szCs w:val="24"/>
        </w:rPr>
        <w:t>INSURANCE DEPARTMENT</w:t>
      </w:r>
    </w:p>
    <w:p w14:paraId="2960FE78" w14:textId="77777777" w:rsidR="00C61342" w:rsidRPr="001B773C" w:rsidRDefault="00C61342" w:rsidP="00C61342">
      <w:pPr>
        <w:pStyle w:val="Title"/>
        <w:ind w:right="-720"/>
        <w:rPr>
          <w:rFonts w:ascii="Times New Roman" w:hAnsi="Times New Roman"/>
          <w:szCs w:val="24"/>
        </w:rPr>
      </w:pPr>
      <w:r w:rsidRPr="001B773C">
        <w:rPr>
          <w:rFonts w:ascii="Times New Roman" w:hAnsi="Times New Roman"/>
          <w:szCs w:val="24"/>
        </w:rPr>
        <w:t>***</w:t>
      </w:r>
    </w:p>
    <w:p w14:paraId="090EFF1D" w14:textId="15FF5E3F" w:rsidR="00C61342" w:rsidRPr="001B773C" w:rsidRDefault="00335D7B" w:rsidP="00FA1900">
      <w:pPr>
        <w:ind w:left="1440" w:right="-720" w:hanging="1440"/>
        <w:jc w:val="center"/>
        <w:rPr>
          <w:rFonts w:ascii="Times New Roman" w:hAnsi="Times New Roman"/>
          <w:szCs w:val="24"/>
        </w:rPr>
      </w:pPr>
      <w:r w:rsidRPr="001B773C">
        <w:rPr>
          <w:rFonts w:ascii="Times New Roman" w:hAnsi="Times New Roman"/>
          <w:szCs w:val="24"/>
        </w:rPr>
        <w:t xml:space="preserve">UHIA Education Meeting </w:t>
      </w:r>
      <w:r w:rsidR="00954FAD" w:rsidRPr="001B773C">
        <w:rPr>
          <w:rFonts w:ascii="Times New Roman" w:hAnsi="Times New Roman"/>
          <w:szCs w:val="24"/>
        </w:rPr>
        <w:t>December</w:t>
      </w:r>
      <w:r w:rsidRPr="001B773C">
        <w:rPr>
          <w:rFonts w:ascii="Times New Roman" w:hAnsi="Times New Roman"/>
          <w:szCs w:val="24"/>
        </w:rPr>
        <w:t xml:space="preserve"> 4, 2013</w:t>
      </w:r>
    </w:p>
    <w:p w14:paraId="1F5DB3E2" w14:textId="77777777" w:rsidR="00C61342" w:rsidRPr="001B773C" w:rsidRDefault="00C61342" w:rsidP="00C61342">
      <w:pPr>
        <w:pBdr>
          <w:bottom w:val="single" w:sz="12" w:space="1" w:color="auto"/>
        </w:pBdr>
        <w:ind w:right="-720"/>
        <w:jc w:val="both"/>
        <w:rPr>
          <w:rFonts w:ascii="Times New Roman" w:hAnsi="Times New Roman"/>
          <w:szCs w:val="24"/>
        </w:rPr>
      </w:pPr>
    </w:p>
    <w:p w14:paraId="68CAAF5A" w14:textId="77777777" w:rsidR="00E82981" w:rsidRPr="001B773C" w:rsidRDefault="00E82981" w:rsidP="00E82981">
      <w:pPr>
        <w:jc w:val="both"/>
        <w:rPr>
          <w:rFonts w:ascii="Times New Roman" w:hAnsi="Times New Roman"/>
          <w:szCs w:val="24"/>
        </w:rPr>
      </w:pPr>
    </w:p>
    <w:p w14:paraId="5D955BD6" w14:textId="77777777" w:rsidR="006A063F" w:rsidRPr="001B773C" w:rsidRDefault="004B55FB" w:rsidP="00D935B3">
      <w:pPr>
        <w:pStyle w:val="ListParagraph"/>
        <w:numPr>
          <w:ilvl w:val="0"/>
          <w:numId w:val="17"/>
        </w:numPr>
        <w:jc w:val="both"/>
        <w:rPr>
          <w:rFonts w:ascii="Times New Roman" w:hAnsi="Times New Roman"/>
          <w:b/>
          <w:szCs w:val="24"/>
        </w:rPr>
      </w:pPr>
      <w:r w:rsidRPr="001B773C">
        <w:rPr>
          <w:rFonts w:ascii="Times New Roman" w:hAnsi="Times New Roman"/>
          <w:b/>
          <w:szCs w:val="24"/>
        </w:rPr>
        <w:t>Definitions (31A-1-301)</w:t>
      </w:r>
    </w:p>
    <w:p w14:paraId="45F11422" w14:textId="77777777" w:rsidR="004B55FB" w:rsidRPr="001B773C" w:rsidRDefault="004B55FB" w:rsidP="004B55FB">
      <w:pPr>
        <w:pStyle w:val="ListParagraph"/>
        <w:numPr>
          <w:ilvl w:val="1"/>
          <w:numId w:val="17"/>
        </w:numPr>
        <w:jc w:val="both"/>
        <w:rPr>
          <w:rFonts w:ascii="Times New Roman" w:hAnsi="Times New Roman"/>
          <w:szCs w:val="24"/>
        </w:rPr>
      </w:pPr>
      <w:r w:rsidRPr="001B773C">
        <w:rPr>
          <w:rFonts w:ascii="Times New Roman" w:hAnsi="Times New Roman"/>
          <w:szCs w:val="24"/>
        </w:rPr>
        <w:t xml:space="preserve">Rebating - </w:t>
      </w:r>
      <w:r w:rsidRPr="001B773C">
        <w:rPr>
          <w:rFonts w:ascii="Times New Roman" w:hAnsi="Times New Roman"/>
          <w:bCs/>
          <w:szCs w:val="24"/>
        </w:rPr>
        <w:t>adds new definition of “rebating”, a term currently used in statute but not defined.</w:t>
      </w:r>
    </w:p>
    <w:p w14:paraId="4C9E2BB3" w14:textId="77777777" w:rsidR="004B55FB" w:rsidRPr="001B773C" w:rsidRDefault="00784D63" w:rsidP="004B55FB">
      <w:pPr>
        <w:pStyle w:val="ListParagraph"/>
        <w:numPr>
          <w:ilvl w:val="1"/>
          <w:numId w:val="17"/>
        </w:numPr>
        <w:jc w:val="both"/>
        <w:rPr>
          <w:rFonts w:ascii="Times New Roman" w:hAnsi="Times New Roman"/>
          <w:szCs w:val="24"/>
        </w:rPr>
      </w:pPr>
      <w:r w:rsidRPr="001B773C">
        <w:rPr>
          <w:rFonts w:ascii="Times New Roman" w:hAnsi="Times New Roman"/>
          <w:bCs/>
          <w:szCs w:val="24"/>
        </w:rPr>
        <w:t>Small employer – expands the current definition to comply with t</w:t>
      </w:r>
      <w:r w:rsidR="004B55FB" w:rsidRPr="001B773C">
        <w:rPr>
          <w:rFonts w:ascii="Times New Roman" w:hAnsi="Times New Roman"/>
          <w:bCs/>
          <w:szCs w:val="24"/>
        </w:rPr>
        <w:t>he Affordable Care Act (ACA)</w:t>
      </w:r>
      <w:r w:rsidRPr="001B773C">
        <w:rPr>
          <w:rFonts w:ascii="Times New Roman" w:hAnsi="Times New Roman"/>
          <w:bCs/>
          <w:szCs w:val="24"/>
        </w:rPr>
        <w:t>, which</w:t>
      </w:r>
      <w:r w:rsidR="004B55FB" w:rsidRPr="001B773C">
        <w:rPr>
          <w:rFonts w:ascii="Times New Roman" w:hAnsi="Times New Roman"/>
          <w:bCs/>
          <w:szCs w:val="24"/>
        </w:rPr>
        <w:t xml:space="preserve"> requires the definition of small employer to include an employer who employees at least one employee for purposes of health insurance.</w:t>
      </w:r>
    </w:p>
    <w:p w14:paraId="0D7FEA84" w14:textId="77777777" w:rsidR="008E11F3" w:rsidRPr="001B773C" w:rsidRDefault="008E11F3" w:rsidP="004B55FB">
      <w:pPr>
        <w:pStyle w:val="ListParagraph"/>
        <w:ind w:left="1440"/>
        <w:jc w:val="both"/>
        <w:rPr>
          <w:rFonts w:ascii="Times New Roman" w:hAnsi="Times New Roman"/>
          <w:szCs w:val="24"/>
        </w:rPr>
      </w:pPr>
    </w:p>
    <w:p w14:paraId="1F47AF3D" w14:textId="77777777" w:rsidR="0085285F" w:rsidRPr="001B773C" w:rsidRDefault="0085285F" w:rsidP="0085285F">
      <w:pPr>
        <w:pStyle w:val="ListParagraph"/>
        <w:numPr>
          <w:ilvl w:val="0"/>
          <w:numId w:val="17"/>
        </w:numPr>
        <w:jc w:val="both"/>
        <w:rPr>
          <w:rFonts w:ascii="Times New Roman" w:hAnsi="Times New Roman"/>
          <w:b/>
          <w:szCs w:val="24"/>
        </w:rPr>
      </w:pPr>
      <w:r w:rsidRPr="001B773C">
        <w:rPr>
          <w:rFonts w:ascii="Times New Roman" w:hAnsi="Times New Roman"/>
          <w:b/>
          <w:szCs w:val="24"/>
        </w:rPr>
        <w:t>Insurance Fraud Investigators (31A-2-104 and 53-13-103))</w:t>
      </w:r>
    </w:p>
    <w:p w14:paraId="1C1A7ECB" w14:textId="77777777" w:rsidR="0085285F" w:rsidRPr="001B773C" w:rsidRDefault="0085285F" w:rsidP="0085285F">
      <w:pPr>
        <w:pStyle w:val="ListParagraph"/>
        <w:numPr>
          <w:ilvl w:val="1"/>
          <w:numId w:val="17"/>
        </w:numPr>
        <w:jc w:val="both"/>
        <w:rPr>
          <w:rFonts w:ascii="Times New Roman" w:hAnsi="Times New Roman"/>
          <w:szCs w:val="24"/>
        </w:rPr>
      </w:pPr>
      <w:r w:rsidRPr="001B773C">
        <w:rPr>
          <w:rFonts w:ascii="Times New Roman" w:hAnsi="Times New Roman"/>
          <w:bCs/>
          <w:szCs w:val="24"/>
        </w:rPr>
        <w:t xml:space="preserve">Changes the status of the 11 fraud investigators from special function law enforcement officers to full law enforcement officers.  The change enhances their ability to react as law enforcement and puts them on law enforcement retirement, which can be supported by the Fraud Division’s Budget.   </w:t>
      </w:r>
      <w:r w:rsidRPr="001B773C">
        <w:rPr>
          <w:rFonts w:ascii="Times New Roman" w:hAnsi="Times New Roman"/>
          <w:bCs/>
          <w:i/>
          <w:szCs w:val="24"/>
        </w:rPr>
        <w:t>Will seek amendment for permissive authority for the fraud investigators to participate in public safety retirement</w:t>
      </w:r>
      <w:r w:rsidRPr="001B773C">
        <w:rPr>
          <w:rFonts w:ascii="Times New Roman" w:hAnsi="Times New Roman"/>
          <w:bCs/>
          <w:szCs w:val="24"/>
        </w:rPr>
        <w:t>.  This change will enhance the Fraud Division’s ability to recruit and retain top investigators.</w:t>
      </w:r>
    </w:p>
    <w:p w14:paraId="7A046570" w14:textId="77777777" w:rsidR="001B773C" w:rsidRPr="001B773C" w:rsidRDefault="001B773C" w:rsidP="004B55FB">
      <w:pPr>
        <w:pStyle w:val="ListParagraph"/>
        <w:ind w:left="1440"/>
        <w:jc w:val="both"/>
        <w:rPr>
          <w:rFonts w:ascii="Times New Roman" w:hAnsi="Times New Roman"/>
          <w:szCs w:val="24"/>
        </w:rPr>
      </w:pPr>
    </w:p>
    <w:p w14:paraId="0088CBB7" w14:textId="77777777" w:rsidR="007E05E6" w:rsidRPr="001B773C" w:rsidRDefault="007E05E6" w:rsidP="007E05E6">
      <w:pPr>
        <w:pStyle w:val="ListParagraph"/>
        <w:numPr>
          <w:ilvl w:val="0"/>
          <w:numId w:val="17"/>
        </w:numPr>
        <w:jc w:val="both"/>
        <w:rPr>
          <w:rFonts w:ascii="Times New Roman" w:hAnsi="Times New Roman"/>
          <w:b/>
          <w:szCs w:val="24"/>
        </w:rPr>
      </w:pPr>
      <w:r w:rsidRPr="001B773C">
        <w:rPr>
          <w:rFonts w:ascii="Times New Roman" w:hAnsi="Times New Roman"/>
          <w:b/>
          <w:szCs w:val="24"/>
        </w:rPr>
        <w:t xml:space="preserve">Captives </w:t>
      </w:r>
    </w:p>
    <w:p w14:paraId="1AFBEE18" w14:textId="77777777" w:rsidR="007E05E6" w:rsidRPr="001B773C" w:rsidRDefault="007E05E6" w:rsidP="007E05E6">
      <w:pPr>
        <w:pStyle w:val="ListParagraph"/>
        <w:numPr>
          <w:ilvl w:val="1"/>
          <w:numId w:val="17"/>
        </w:numPr>
        <w:jc w:val="both"/>
        <w:rPr>
          <w:rFonts w:ascii="Times New Roman" w:hAnsi="Times New Roman"/>
          <w:szCs w:val="24"/>
        </w:rPr>
      </w:pPr>
      <w:r w:rsidRPr="001B773C">
        <w:rPr>
          <w:rFonts w:ascii="Times New Roman" w:hAnsi="Times New Roman"/>
          <w:szCs w:val="24"/>
        </w:rPr>
        <w:t>31A-3-304 - Moves forward by 20 days, to June 1</w:t>
      </w:r>
      <w:r w:rsidRPr="001B773C">
        <w:rPr>
          <w:rFonts w:ascii="Times New Roman" w:hAnsi="Times New Roman"/>
          <w:szCs w:val="24"/>
          <w:vertAlign w:val="superscript"/>
        </w:rPr>
        <w:t>st</w:t>
      </w:r>
      <w:r w:rsidRPr="001B773C">
        <w:rPr>
          <w:rFonts w:ascii="Times New Roman" w:hAnsi="Times New Roman"/>
          <w:szCs w:val="24"/>
        </w:rPr>
        <w:t>, the annual fee paid by captive insurers to alleviate administrative and accounting issues related to the current proximity to FY end on 7/1.</w:t>
      </w:r>
    </w:p>
    <w:p w14:paraId="4DE9D48D" w14:textId="77777777" w:rsidR="007E05E6" w:rsidRPr="001B773C" w:rsidRDefault="007E05E6" w:rsidP="007E05E6">
      <w:pPr>
        <w:pStyle w:val="ListParagraph"/>
        <w:numPr>
          <w:ilvl w:val="1"/>
          <w:numId w:val="17"/>
        </w:numPr>
        <w:jc w:val="both"/>
        <w:rPr>
          <w:rFonts w:ascii="Times New Roman" w:hAnsi="Times New Roman"/>
          <w:szCs w:val="24"/>
        </w:rPr>
      </w:pPr>
      <w:r w:rsidRPr="001B773C">
        <w:rPr>
          <w:rFonts w:ascii="Times New Roman" w:hAnsi="Times New Roman"/>
          <w:szCs w:val="24"/>
        </w:rPr>
        <w:t>31A-37-501 – Clarifies that all types of captive insurers must file an annual report with the commissioner.</w:t>
      </w:r>
    </w:p>
    <w:p w14:paraId="0716D995" w14:textId="77777777" w:rsidR="008E11F3" w:rsidRPr="001B773C" w:rsidRDefault="008E11F3" w:rsidP="008E11F3">
      <w:pPr>
        <w:pStyle w:val="ListParagraph"/>
        <w:ind w:left="360"/>
        <w:jc w:val="both"/>
        <w:rPr>
          <w:rFonts w:ascii="Times New Roman" w:hAnsi="Times New Roman"/>
          <w:b/>
          <w:szCs w:val="24"/>
          <w:u w:val="single"/>
        </w:rPr>
      </w:pPr>
    </w:p>
    <w:p w14:paraId="4847D033" w14:textId="08862F3C" w:rsidR="00DC5A66" w:rsidRPr="001B773C" w:rsidRDefault="004B55FB" w:rsidP="00DC5A66">
      <w:pPr>
        <w:pStyle w:val="ListParagraph"/>
        <w:numPr>
          <w:ilvl w:val="0"/>
          <w:numId w:val="17"/>
        </w:numPr>
        <w:jc w:val="both"/>
        <w:rPr>
          <w:rFonts w:ascii="Times New Roman" w:hAnsi="Times New Roman"/>
          <w:szCs w:val="24"/>
        </w:rPr>
      </w:pPr>
      <w:r w:rsidRPr="001B773C">
        <w:rPr>
          <w:rFonts w:ascii="Times New Roman" w:hAnsi="Times New Roman"/>
          <w:b/>
          <w:szCs w:val="24"/>
        </w:rPr>
        <w:t>Health</w:t>
      </w:r>
      <w:r w:rsidR="00C17F1B" w:rsidRPr="001B773C">
        <w:rPr>
          <w:rFonts w:ascii="Times New Roman" w:hAnsi="Times New Roman"/>
          <w:szCs w:val="24"/>
        </w:rPr>
        <w:t xml:space="preserve"> - Various changes to health insurance laws primarily based on the </w:t>
      </w:r>
      <w:r w:rsidR="00F170C9" w:rsidRPr="001B773C">
        <w:rPr>
          <w:rFonts w:ascii="Times New Roman" w:hAnsi="Times New Roman"/>
          <w:szCs w:val="24"/>
        </w:rPr>
        <w:t>requirements</w:t>
      </w:r>
      <w:r w:rsidR="00C17F1B" w:rsidRPr="001B773C">
        <w:rPr>
          <w:rFonts w:ascii="Times New Roman" w:hAnsi="Times New Roman"/>
          <w:szCs w:val="24"/>
        </w:rPr>
        <w:t xml:space="preserve"> of the ACA.</w:t>
      </w:r>
      <w:r w:rsidR="008E11F3" w:rsidRPr="001B773C">
        <w:rPr>
          <w:rFonts w:ascii="Times New Roman" w:hAnsi="Times New Roman"/>
          <w:szCs w:val="24"/>
        </w:rPr>
        <w:t xml:space="preserve">  Revisions will need to be made to allow for policy extensions.</w:t>
      </w:r>
    </w:p>
    <w:p w14:paraId="060B0800" w14:textId="77777777" w:rsidR="00A75071" w:rsidRPr="001B773C" w:rsidRDefault="00A75071" w:rsidP="00C17F1B">
      <w:pPr>
        <w:pStyle w:val="ListParagraph"/>
        <w:numPr>
          <w:ilvl w:val="1"/>
          <w:numId w:val="17"/>
        </w:numPr>
        <w:jc w:val="both"/>
        <w:rPr>
          <w:rFonts w:ascii="Times New Roman" w:hAnsi="Times New Roman"/>
          <w:szCs w:val="24"/>
        </w:rPr>
      </w:pPr>
      <w:r w:rsidRPr="001B773C">
        <w:rPr>
          <w:rFonts w:ascii="Times New Roman" w:hAnsi="Times New Roman"/>
          <w:szCs w:val="24"/>
        </w:rPr>
        <w:t xml:space="preserve">With the closing of the </w:t>
      </w:r>
      <w:proofErr w:type="spellStart"/>
      <w:r w:rsidRPr="001B773C">
        <w:rPr>
          <w:rFonts w:ascii="Times New Roman" w:hAnsi="Times New Roman"/>
          <w:szCs w:val="24"/>
        </w:rPr>
        <w:t>HIPUtah</w:t>
      </w:r>
      <w:proofErr w:type="spellEnd"/>
      <w:r w:rsidRPr="001B773C">
        <w:rPr>
          <w:rFonts w:ascii="Times New Roman" w:hAnsi="Times New Roman"/>
          <w:szCs w:val="24"/>
        </w:rPr>
        <w:t xml:space="preserve"> program, the bill revises the $50,000 withdrawal fee to be payable to the Insurance Department, rather than </w:t>
      </w:r>
      <w:proofErr w:type="spellStart"/>
      <w:r w:rsidRPr="001B773C">
        <w:rPr>
          <w:rFonts w:ascii="Times New Roman" w:hAnsi="Times New Roman"/>
          <w:szCs w:val="24"/>
        </w:rPr>
        <w:t>HIPUtah</w:t>
      </w:r>
      <w:proofErr w:type="spellEnd"/>
      <w:r w:rsidRPr="001B773C">
        <w:rPr>
          <w:rFonts w:ascii="Times New Roman" w:hAnsi="Times New Roman"/>
          <w:szCs w:val="24"/>
        </w:rPr>
        <w:t>, which is consistent with withdrawals from other lines of insurance.</w:t>
      </w:r>
    </w:p>
    <w:p w14:paraId="703EA8CF" w14:textId="77777777" w:rsidR="00DC5A66" w:rsidRPr="001B773C" w:rsidRDefault="00DC5A66" w:rsidP="00C17F1B">
      <w:pPr>
        <w:pStyle w:val="ListParagraph"/>
        <w:numPr>
          <w:ilvl w:val="1"/>
          <w:numId w:val="17"/>
        </w:numPr>
        <w:jc w:val="both"/>
        <w:rPr>
          <w:rFonts w:ascii="Times New Roman" w:hAnsi="Times New Roman"/>
          <w:szCs w:val="24"/>
        </w:rPr>
      </w:pPr>
      <w:r w:rsidRPr="001B773C">
        <w:rPr>
          <w:rFonts w:ascii="Times New Roman" w:hAnsi="Times New Roman"/>
          <w:szCs w:val="24"/>
        </w:rPr>
        <w:t>Revises renewal provisions for individual and small employers for compliance with the ACA.</w:t>
      </w:r>
    </w:p>
    <w:p w14:paraId="2EDF11F9" w14:textId="77777777" w:rsidR="00C17F1B" w:rsidRPr="001B773C" w:rsidRDefault="00F87722" w:rsidP="00C17F1B">
      <w:pPr>
        <w:pStyle w:val="ListParagraph"/>
        <w:numPr>
          <w:ilvl w:val="1"/>
          <w:numId w:val="17"/>
        </w:numPr>
        <w:jc w:val="both"/>
        <w:rPr>
          <w:rFonts w:ascii="Times New Roman" w:hAnsi="Times New Roman"/>
          <w:szCs w:val="24"/>
        </w:rPr>
      </w:pPr>
      <w:r w:rsidRPr="001B773C">
        <w:rPr>
          <w:rFonts w:ascii="Times New Roman" w:hAnsi="Times New Roman"/>
          <w:szCs w:val="24"/>
        </w:rPr>
        <w:t xml:space="preserve">Effective January 1, 2014, the ACA requires small employer and individual insurers to accept all persons applying for coverage.  The proposed changes remove Utah’s prior HIPAA alternative </w:t>
      </w:r>
      <w:proofErr w:type="gramStart"/>
      <w:r w:rsidRPr="001B773C">
        <w:rPr>
          <w:rFonts w:ascii="Times New Roman" w:hAnsi="Times New Roman"/>
          <w:szCs w:val="24"/>
        </w:rPr>
        <w:t>mechanism which</w:t>
      </w:r>
      <w:proofErr w:type="gramEnd"/>
      <w:r w:rsidRPr="001B773C">
        <w:rPr>
          <w:rFonts w:ascii="Times New Roman" w:hAnsi="Times New Roman"/>
          <w:szCs w:val="24"/>
        </w:rPr>
        <w:t xml:space="preserve"> is no longer applicable. </w:t>
      </w:r>
      <w:r w:rsidR="00C17F1B" w:rsidRPr="001B773C">
        <w:rPr>
          <w:rFonts w:ascii="Times New Roman" w:hAnsi="Times New Roman"/>
          <w:szCs w:val="24"/>
        </w:rPr>
        <w:t xml:space="preserve">Removal of reference to </w:t>
      </w:r>
      <w:proofErr w:type="spellStart"/>
      <w:r w:rsidR="00C17F1B" w:rsidRPr="001B773C">
        <w:rPr>
          <w:rFonts w:ascii="Times New Roman" w:hAnsi="Times New Roman"/>
          <w:szCs w:val="24"/>
        </w:rPr>
        <w:t>HIPUtah</w:t>
      </w:r>
      <w:proofErr w:type="spellEnd"/>
      <w:r w:rsidR="00C17F1B" w:rsidRPr="001B773C">
        <w:rPr>
          <w:rFonts w:ascii="Times New Roman" w:hAnsi="Times New Roman"/>
          <w:szCs w:val="24"/>
        </w:rPr>
        <w:t xml:space="preserve"> in various statutes due to that program being phased out beginning January 1, 2014.</w:t>
      </w:r>
    </w:p>
    <w:p w14:paraId="3EC15234" w14:textId="77777777" w:rsidR="00C17F1B" w:rsidRPr="001B773C" w:rsidRDefault="00C17F1B" w:rsidP="00C17F1B">
      <w:pPr>
        <w:pStyle w:val="ListParagraph"/>
        <w:numPr>
          <w:ilvl w:val="1"/>
          <w:numId w:val="17"/>
        </w:numPr>
        <w:jc w:val="both"/>
        <w:rPr>
          <w:rFonts w:ascii="Times New Roman" w:hAnsi="Times New Roman"/>
          <w:szCs w:val="24"/>
        </w:rPr>
      </w:pPr>
      <w:r w:rsidRPr="001B773C">
        <w:rPr>
          <w:rFonts w:ascii="Times New Roman" w:hAnsi="Times New Roman"/>
          <w:szCs w:val="24"/>
        </w:rPr>
        <w:t xml:space="preserve">Removal of reference </w:t>
      </w:r>
      <w:r w:rsidR="00F87722" w:rsidRPr="001B773C">
        <w:rPr>
          <w:rFonts w:ascii="Times New Roman" w:hAnsi="Times New Roman"/>
          <w:szCs w:val="24"/>
        </w:rPr>
        <w:t xml:space="preserve">in various places </w:t>
      </w:r>
      <w:r w:rsidRPr="001B773C">
        <w:rPr>
          <w:rFonts w:ascii="Times New Roman" w:hAnsi="Times New Roman"/>
          <w:szCs w:val="24"/>
        </w:rPr>
        <w:t>to preexisting condition limitations on medical plans offered on or after January 1, 2014, which are prohibited by the ACA.</w:t>
      </w:r>
    </w:p>
    <w:p w14:paraId="197B5914" w14:textId="77777777" w:rsidR="00F87722" w:rsidRPr="001B773C" w:rsidRDefault="00F87722" w:rsidP="00C17F1B">
      <w:pPr>
        <w:pStyle w:val="ListParagraph"/>
        <w:numPr>
          <w:ilvl w:val="1"/>
          <w:numId w:val="17"/>
        </w:numPr>
        <w:jc w:val="both"/>
        <w:rPr>
          <w:rFonts w:ascii="Times New Roman" w:hAnsi="Times New Roman"/>
          <w:szCs w:val="24"/>
        </w:rPr>
      </w:pPr>
      <w:r w:rsidRPr="001B773C">
        <w:rPr>
          <w:rFonts w:ascii="Times New Roman" w:hAnsi="Times New Roman"/>
          <w:szCs w:val="24"/>
        </w:rPr>
        <w:t xml:space="preserve">Removes reference to conversion policies, which are no </w:t>
      </w:r>
      <w:proofErr w:type="gramStart"/>
      <w:r w:rsidRPr="001B773C">
        <w:rPr>
          <w:rFonts w:ascii="Times New Roman" w:hAnsi="Times New Roman"/>
          <w:szCs w:val="24"/>
        </w:rPr>
        <w:t>longer</w:t>
      </w:r>
      <w:proofErr w:type="gramEnd"/>
      <w:r w:rsidRPr="001B773C">
        <w:rPr>
          <w:rFonts w:ascii="Times New Roman" w:hAnsi="Times New Roman"/>
          <w:szCs w:val="24"/>
        </w:rPr>
        <w:t xml:space="preserve"> a requirement effective January 1, 2014 under the ACA.</w:t>
      </w:r>
    </w:p>
    <w:p w14:paraId="2C1512FB" w14:textId="77777777" w:rsidR="00F87722" w:rsidRPr="001B773C" w:rsidRDefault="00F87722" w:rsidP="00F87722">
      <w:pPr>
        <w:pStyle w:val="ListParagraph"/>
        <w:numPr>
          <w:ilvl w:val="1"/>
          <w:numId w:val="17"/>
        </w:numPr>
        <w:rPr>
          <w:rFonts w:ascii="Times New Roman" w:hAnsi="Times New Roman"/>
          <w:szCs w:val="24"/>
        </w:rPr>
      </w:pPr>
      <w:r w:rsidRPr="001B773C">
        <w:rPr>
          <w:rFonts w:ascii="Times New Roman" w:hAnsi="Times New Roman"/>
          <w:szCs w:val="24"/>
        </w:rPr>
        <w:lastRenderedPageBreak/>
        <w:t>Removes the provisions related to enrollment caps in the individual market due to guarantee issuance requirements in the ACA effective January 1, 2014.</w:t>
      </w:r>
    </w:p>
    <w:p w14:paraId="3F86024C" w14:textId="77777777" w:rsidR="00F87722" w:rsidRPr="001B773C" w:rsidRDefault="00F87722" w:rsidP="00F87722">
      <w:pPr>
        <w:pStyle w:val="ListParagraph"/>
        <w:numPr>
          <w:ilvl w:val="1"/>
          <w:numId w:val="17"/>
        </w:numPr>
        <w:rPr>
          <w:rFonts w:ascii="Times New Roman" w:hAnsi="Times New Roman"/>
          <w:szCs w:val="24"/>
        </w:rPr>
      </w:pPr>
      <w:r w:rsidRPr="001B773C">
        <w:rPr>
          <w:rFonts w:ascii="Times New Roman" w:hAnsi="Times New Roman"/>
          <w:szCs w:val="24"/>
        </w:rPr>
        <w:t>Removes requirement that a person be a resident of Utah for 12 months, which is prohibited by the ACA.</w:t>
      </w:r>
    </w:p>
    <w:p w14:paraId="1312F2A8" w14:textId="77777777" w:rsidR="00F87722" w:rsidRPr="001B773C" w:rsidRDefault="00F87722" w:rsidP="00F87722">
      <w:pPr>
        <w:pStyle w:val="ListParagraph"/>
        <w:numPr>
          <w:ilvl w:val="1"/>
          <w:numId w:val="17"/>
        </w:numPr>
        <w:rPr>
          <w:rFonts w:ascii="Times New Roman" w:hAnsi="Times New Roman"/>
          <w:szCs w:val="24"/>
        </w:rPr>
      </w:pPr>
      <w:r w:rsidRPr="001B773C">
        <w:rPr>
          <w:rFonts w:ascii="Times New Roman" w:hAnsi="Times New Roman"/>
          <w:szCs w:val="24"/>
        </w:rPr>
        <w:t>Removes the provisions related to enrollment caps in the individual market due to guarantee issuance requirements in the ACA effective January 1, 2014.</w:t>
      </w:r>
    </w:p>
    <w:p w14:paraId="58F3D0BA" w14:textId="77777777" w:rsidR="00F475FA" w:rsidRPr="001B773C" w:rsidRDefault="00F475FA" w:rsidP="00C17F1B">
      <w:pPr>
        <w:pStyle w:val="ListParagraph"/>
        <w:numPr>
          <w:ilvl w:val="1"/>
          <w:numId w:val="17"/>
        </w:numPr>
        <w:jc w:val="both"/>
        <w:rPr>
          <w:rFonts w:ascii="Times New Roman" w:hAnsi="Times New Roman"/>
          <w:szCs w:val="24"/>
        </w:rPr>
      </w:pPr>
      <w:r w:rsidRPr="001B773C">
        <w:rPr>
          <w:rFonts w:ascii="Times New Roman" w:hAnsi="Times New Roman"/>
          <w:szCs w:val="24"/>
        </w:rPr>
        <w:t>Prohibits certain rating practices after January 1, 2014 based on health status, gender and clarifies insurers may rate for geographic area, family status and age.</w:t>
      </w:r>
    </w:p>
    <w:p w14:paraId="1C9B442B" w14:textId="77777777" w:rsidR="005373B3" w:rsidRPr="001B773C" w:rsidRDefault="005373B3" w:rsidP="00C17F1B">
      <w:pPr>
        <w:pStyle w:val="ListParagraph"/>
        <w:numPr>
          <w:ilvl w:val="1"/>
          <w:numId w:val="17"/>
        </w:numPr>
        <w:jc w:val="both"/>
        <w:rPr>
          <w:rFonts w:ascii="Times New Roman" w:hAnsi="Times New Roman"/>
          <w:szCs w:val="24"/>
        </w:rPr>
      </w:pPr>
      <w:r w:rsidRPr="001B773C">
        <w:rPr>
          <w:rFonts w:ascii="Times New Roman" w:hAnsi="Times New Roman"/>
          <w:bCs/>
          <w:szCs w:val="24"/>
        </w:rPr>
        <w:t xml:space="preserve">31A-22-625 – Codify existing practice to ensure compliance with the federal Mental Health and Substance Abuse Parity Act by small employer </w:t>
      </w:r>
      <w:r w:rsidR="00E52440" w:rsidRPr="001B773C">
        <w:rPr>
          <w:rFonts w:ascii="Times New Roman" w:hAnsi="Times New Roman"/>
          <w:bCs/>
          <w:szCs w:val="24"/>
        </w:rPr>
        <w:t xml:space="preserve">and individual </w:t>
      </w:r>
      <w:r w:rsidRPr="001B773C">
        <w:rPr>
          <w:rFonts w:ascii="Times New Roman" w:hAnsi="Times New Roman"/>
          <w:bCs/>
          <w:szCs w:val="24"/>
        </w:rPr>
        <w:t>plans, as required under the ACA.  Previously only large employer plans were subject to the Mental Health and Substance Abuse Parity Act.</w:t>
      </w:r>
    </w:p>
    <w:p w14:paraId="0B92DBDF" w14:textId="77777777" w:rsidR="005373B3" w:rsidRPr="001B773C" w:rsidRDefault="005373B3" w:rsidP="00C17F1B">
      <w:pPr>
        <w:pStyle w:val="ListParagraph"/>
        <w:numPr>
          <w:ilvl w:val="1"/>
          <w:numId w:val="17"/>
        </w:numPr>
        <w:jc w:val="both"/>
        <w:rPr>
          <w:rFonts w:ascii="Times New Roman" w:hAnsi="Times New Roman"/>
          <w:szCs w:val="24"/>
        </w:rPr>
      </w:pPr>
      <w:r w:rsidRPr="001B773C">
        <w:rPr>
          <w:rFonts w:ascii="Times New Roman" w:hAnsi="Times New Roman"/>
          <w:bCs/>
          <w:szCs w:val="24"/>
        </w:rPr>
        <w:t>31A-22-635 – Update statutes to prohibit insurers from collecting health information and using that information to calculate rates based on health status, consistent with requirements of the ACA.</w:t>
      </w:r>
    </w:p>
    <w:p w14:paraId="1C09C0F9" w14:textId="77777777" w:rsidR="00F20EF7" w:rsidRPr="001B773C" w:rsidRDefault="00F20EF7" w:rsidP="00C17F1B">
      <w:pPr>
        <w:pStyle w:val="ListParagraph"/>
        <w:numPr>
          <w:ilvl w:val="1"/>
          <w:numId w:val="17"/>
        </w:numPr>
        <w:jc w:val="both"/>
        <w:rPr>
          <w:rFonts w:ascii="Times New Roman" w:hAnsi="Times New Roman"/>
          <w:szCs w:val="24"/>
        </w:rPr>
      </w:pPr>
      <w:r w:rsidRPr="001B773C">
        <w:rPr>
          <w:rFonts w:ascii="Times New Roman" w:hAnsi="Times New Roman"/>
          <w:szCs w:val="24"/>
        </w:rPr>
        <w:t>Clarifies “</w:t>
      </w:r>
      <w:proofErr w:type="spellStart"/>
      <w:r w:rsidRPr="001B773C">
        <w:rPr>
          <w:rFonts w:ascii="Times New Roman" w:hAnsi="Times New Roman"/>
          <w:szCs w:val="24"/>
        </w:rPr>
        <w:t>lasering</w:t>
      </w:r>
      <w:proofErr w:type="spellEnd"/>
      <w:r w:rsidRPr="001B773C">
        <w:rPr>
          <w:rFonts w:ascii="Times New Roman" w:hAnsi="Times New Roman"/>
          <w:szCs w:val="24"/>
        </w:rPr>
        <w:t>” is transferring the risk of the individual’s claims back to the employer, rather than transferring the risk for an individual.</w:t>
      </w:r>
    </w:p>
    <w:p w14:paraId="1BAB16CD" w14:textId="77777777" w:rsidR="00A925ED" w:rsidRPr="001B773C" w:rsidRDefault="00F20EF7" w:rsidP="00C17F1B">
      <w:pPr>
        <w:pStyle w:val="ListParagraph"/>
        <w:numPr>
          <w:ilvl w:val="1"/>
          <w:numId w:val="17"/>
        </w:numPr>
        <w:jc w:val="both"/>
        <w:rPr>
          <w:rFonts w:ascii="Times New Roman" w:hAnsi="Times New Roman"/>
          <w:szCs w:val="24"/>
        </w:rPr>
      </w:pPr>
      <w:r w:rsidRPr="001B773C">
        <w:rPr>
          <w:rFonts w:ascii="Times New Roman" w:hAnsi="Times New Roman"/>
          <w:szCs w:val="24"/>
        </w:rPr>
        <w:t>Requires stop-loss insurer to consider claims paid within 12 months after the expiration of the stop-loss contract, rather than claims submitted</w:t>
      </w:r>
      <w:r w:rsidR="00A925ED" w:rsidRPr="001B773C">
        <w:rPr>
          <w:rFonts w:ascii="Times New Roman" w:hAnsi="Times New Roman"/>
          <w:szCs w:val="24"/>
        </w:rPr>
        <w:t>.</w:t>
      </w:r>
    </w:p>
    <w:p w14:paraId="3D3CC475" w14:textId="4D6E3DEC" w:rsidR="00F20EF7" w:rsidRPr="001B773C" w:rsidRDefault="00A925ED" w:rsidP="00C17F1B">
      <w:pPr>
        <w:pStyle w:val="ListParagraph"/>
        <w:numPr>
          <w:ilvl w:val="1"/>
          <w:numId w:val="17"/>
        </w:numPr>
        <w:jc w:val="both"/>
        <w:rPr>
          <w:rFonts w:ascii="Times New Roman" w:hAnsi="Times New Roman"/>
          <w:szCs w:val="24"/>
        </w:rPr>
      </w:pPr>
      <w:r w:rsidRPr="001B773C">
        <w:rPr>
          <w:rFonts w:ascii="Times New Roman" w:hAnsi="Times New Roman"/>
          <w:szCs w:val="24"/>
        </w:rPr>
        <w:t>Revises requirements for rating by requiring</w:t>
      </w:r>
      <w:r w:rsidR="00F20EF7" w:rsidRPr="001B773C">
        <w:rPr>
          <w:rFonts w:ascii="Times New Roman" w:hAnsi="Times New Roman"/>
          <w:szCs w:val="24"/>
        </w:rPr>
        <w:t xml:space="preserve"> stop-loss insurers to file rating methodologies with each filing and demonstrate compliance on an annual basis.</w:t>
      </w:r>
    </w:p>
    <w:p w14:paraId="256FBBC3" w14:textId="004E6F5E" w:rsidR="006A063F" w:rsidRPr="001B773C" w:rsidRDefault="00610F68" w:rsidP="002C12F6">
      <w:pPr>
        <w:pStyle w:val="ListParagraph"/>
        <w:numPr>
          <w:ilvl w:val="1"/>
          <w:numId w:val="17"/>
        </w:numPr>
        <w:jc w:val="both"/>
        <w:rPr>
          <w:rFonts w:ascii="Times New Roman" w:hAnsi="Times New Roman"/>
          <w:i/>
          <w:szCs w:val="24"/>
        </w:rPr>
      </w:pPr>
      <w:r w:rsidRPr="001B773C">
        <w:rPr>
          <w:rFonts w:ascii="Times New Roman" w:hAnsi="Times New Roman"/>
          <w:bCs/>
          <w:szCs w:val="24"/>
        </w:rPr>
        <w:t>Requires the Department to adopt rules for the transparency of health rating practices.</w:t>
      </w:r>
      <w:r w:rsidR="00C6093D" w:rsidRPr="001B773C">
        <w:rPr>
          <w:rFonts w:ascii="Times New Roman" w:hAnsi="Times New Roman"/>
          <w:bCs/>
          <w:i/>
          <w:szCs w:val="24"/>
        </w:rPr>
        <w:t xml:space="preserve"> </w:t>
      </w:r>
    </w:p>
    <w:p w14:paraId="12A5E0F4" w14:textId="77777777" w:rsidR="008E11F3" w:rsidRPr="001B773C" w:rsidRDefault="008E11F3" w:rsidP="002C12F6">
      <w:pPr>
        <w:pStyle w:val="ListParagraph"/>
        <w:jc w:val="both"/>
        <w:rPr>
          <w:rFonts w:ascii="Times New Roman" w:hAnsi="Times New Roman"/>
          <w:szCs w:val="24"/>
        </w:rPr>
      </w:pPr>
    </w:p>
    <w:p w14:paraId="4A82F8B0" w14:textId="77777777" w:rsidR="006A063F" w:rsidRPr="001B773C" w:rsidRDefault="00C17F1B" w:rsidP="00D935B3">
      <w:pPr>
        <w:pStyle w:val="ListParagraph"/>
        <w:numPr>
          <w:ilvl w:val="0"/>
          <w:numId w:val="17"/>
        </w:numPr>
        <w:jc w:val="both"/>
        <w:rPr>
          <w:rFonts w:ascii="Times New Roman" w:hAnsi="Times New Roman"/>
          <w:b/>
          <w:szCs w:val="24"/>
        </w:rPr>
      </w:pPr>
      <w:r w:rsidRPr="001B773C">
        <w:rPr>
          <w:rFonts w:ascii="Times New Roman" w:hAnsi="Times New Roman"/>
          <w:b/>
          <w:szCs w:val="24"/>
        </w:rPr>
        <w:t>Life (31A-22-428)</w:t>
      </w:r>
    </w:p>
    <w:p w14:paraId="04BEB19E" w14:textId="3A8B8DF0" w:rsidR="006A063F" w:rsidRPr="001B773C" w:rsidRDefault="00C17F1B" w:rsidP="00C17F1B">
      <w:pPr>
        <w:pStyle w:val="ListParagraph"/>
        <w:numPr>
          <w:ilvl w:val="1"/>
          <w:numId w:val="17"/>
        </w:numPr>
        <w:jc w:val="both"/>
        <w:rPr>
          <w:rFonts w:ascii="Times New Roman" w:hAnsi="Times New Roman"/>
          <w:szCs w:val="24"/>
        </w:rPr>
      </w:pPr>
      <w:r w:rsidRPr="001B773C">
        <w:rPr>
          <w:rFonts w:ascii="Times New Roman" w:hAnsi="Times New Roman"/>
          <w:szCs w:val="24"/>
        </w:rPr>
        <w:t>Implements as a floor or minimum the Two Year Treasury Constant Maturity Rate for purposes of calculating a death benefit under a life policy, if the policy is otherwise silent as to the applicable rate</w:t>
      </w:r>
      <w:r w:rsidR="00230E91" w:rsidRPr="001B773C">
        <w:rPr>
          <w:rFonts w:ascii="Times New Roman" w:hAnsi="Times New Roman"/>
          <w:szCs w:val="24"/>
        </w:rPr>
        <w:t>.</w:t>
      </w:r>
    </w:p>
    <w:p w14:paraId="00B3B07C" w14:textId="77777777" w:rsidR="008E11F3" w:rsidRPr="001B773C" w:rsidRDefault="008E11F3" w:rsidP="00C17F1B">
      <w:pPr>
        <w:jc w:val="both"/>
        <w:rPr>
          <w:rFonts w:ascii="Times New Roman" w:hAnsi="Times New Roman"/>
          <w:szCs w:val="24"/>
        </w:rPr>
      </w:pPr>
    </w:p>
    <w:p w14:paraId="22B09BAB" w14:textId="77777777" w:rsidR="006A063F" w:rsidRPr="001B773C" w:rsidRDefault="00C17F1B" w:rsidP="00D935B3">
      <w:pPr>
        <w:pStyle w:val="ListParagraph"/>
        <w:numPr>
          <w:ilvl w:val="0"/>
          <w:numId w:val="17"/>
        </w:numPr>
        <w:jc w:val="both"/>
        <w:rPr>
          <w:rFonts w:ascii="Times New Roman" w:hAnsi="Times New Roman"/>
          <w:b/>
          <w:szCs w:val="24"/>
        </w:rPr>
      </w:pPr>
      <w:r w:rsidRPr="001B773C">
        <w:rPr>
          <w:rFonts w:ascii="Times New Roman" w:hAnsi="Times New Roman"/>
          <w:b/>
          <w:szCs w:val="24"/>
        </w:rPr>
        <w:t xml:space="preserve">Producer Licensing – </w:t>
      </w:r>
      <w:r w:rsidRPr="001B773C">
        <w:rPr>
          <w:rFonts w:ascii="Times New Roman" w:hAnsi="Times New Roman"/>
          <w:szCs w:val="24"/>
        </w:rPr>
        <w:t xml:space="preserve">Numerous changes, the majority of which are technical changes and </w:t>
      </w:r>
      <w:proofErr w:type="gramStart"/>
      <w:r w:rsidRPr="001B773C">
        <w:rPr>
          <w:rFonts w:ascii="Times New Roman" w:hAnsi="Times New Roman"/>
          <w:szCs w:val="24"/>
        </w:rPr>
        <w:t>clean-up</w:t>
      </w:r>
      <w:proofErr w:type="gramEnd"/>
      <w:r w:rsidRPr="001B773C">
        <w:rPr>
          <w:rFonts w:ascii="Times New Roman" w:hAnsi="Times New Roman"/>
          <w:szCs w:val="24"/>
        </w:rPr>
        <w:t xml:space="preserve"> that codify existing practices and/or clarify confusing or problematic provisions. </w:t>
      </w:r>
    </w:p>
    <w:p w14:paraId="6C50BB78" w14:textId="77777777" w:rsidR="007666E8" w:rsidRPr="001B773C" w:rsidRDefault="00C424BA" w:rsidP="00C17F1B">
      <w:pPr>
        <w:pStyle w:val="ListParagraph"/>
        <w:numPr>
          <w:ilvl w:val="1"/>
          <w:numId w:val="17"/>
        </w:numPr>
        <w:jc w:val="both"/>
        <w:rPr>
          <w:rFonts w:ascii="Times New Roman" w:hAnsi="Times New Roman"/>
          <w:szCs w:val="24"/>
        </w:rPr>
      </w:pPr>
      <w:proofErr w:type="gramStart"/>
      <w:r w:rsidRPr="001B773C">
        <w:rPr>
          <w:rFonts w:ascii="Times New Roman" w:hAnsi="Times New Roman"/>
          <w:bCs/>
          <w:szCs w:val="24"/>
        </w:rPr>
        <w:t>Adds</w:t>
      </w:r>
      <w:proofErr w:type="gramEnd"/>
      <w:r w:rsidRPr="001B773C">
        <w:rPr>
          <w:rFonts w:ascii="Times New Roman" w:hAnsi="Times New Roman"/>
          <w:bCs/>
          <w:szCs w:val="24"/>
        </w:rPr>
        <w:t xml:space="preserve"> rule making authority</w:t>
      </w:r>
      <w:r w:rsidR="00FD757D" w:rsidRPr="001B773C">
        <w:rPr>
          <w:rFonts w:ascii="Times New Roman" w:hAnsi="Times New Roman"/>
          <w:bCs/>
          <w:szCs w:val="24"/>
        </w:rPr>
        <w:t xml:space="preserve"> for the definition of </w:t>
      </w:r>
      <w:r w:rsidR="007666E8" w:rsidRPr="001B773C">
        <w:rPr>
          <w:rFonts w:ascii="Times New Roman" w:hAnsi="Times New Roman"/>
          <w:bCs/>
          <w:szCs w:val="24"/>
        </w:rPr>
        <w:t>resident to address enforcement issues related to producers engaged in cross border sales.</w:t>
      </w:r>
    </w:p>
    <w:p w14:paraId="4052969B" w14:textId="7F936260" w:rsidR="004137C2" w:rsidRPr="001B773C" w:rsidRDefault="005373B3" w:rsidP="00C17F1B">
      <w:pPr>
        <w:pStyle w:val="ListParagraph"/>
        <w:numPr>
          <w:ilvl w:val="1"/>
          <w:numId w:val="17"/>
        </w:numPr>
        <w:jc w:val="both"/>
        <w:rPr>
          <w:rFonts w:ascii="Times New Roman" w:hAnsi="Times New Roman"/>
          <w:szCs w:val="24"/>
        </w:rPr>
      </w:pPr>
      <w:r w:rsidRPr="001B773C">
        <w:rPr>
          <w:rFonts w:ascii="Times New Roman" w:hAnsi="Times New Roman"/>
          <w:szCs w:val="24"/>
        </w:rPr>
        <w:t>31A-23a-105 - changes requirement from state of “residence” to “home” state for producer licensing to allow for a designated home state to be used when a producer’s home state does not issues a particular license or line of authority (like adjusters).</w:t>
      </w:r>
      <w:r w:rsidR="00770D46" w:rsidRPr="001B773C">
        <w:rPr>
          <w:rFonts w:ascii="Times New Roman" w:hAnsi="Times New Roman"/>
          <w:szCs w:val="24"/>
        </w:rPr>
        <w:t xml:space="preserve">  </w:t>
      </w:r>
    </w:p>
    <w:p w14:paraId="39A77FDA" w14:textId="77777777" w:rsidR="004644BF" w:rsidRPr="001B773C" w:rsidRDefault="005373B3" w:rsidP="004644BF">
      <w:pPr>
        <w:pStyle w:val="ListParagraph"/>
        <w:numPr>
          <w:ilvl w:val="1"/>
          <w:numId w:val="17"/>
        </w:numPr>
        <w:jc w:val="both"/>
        <w:rPr>
          <w:rFonts w:ascii="Times New Roman" w:hAnsi="Times New Roman"/>
          <w:szCs w:val="24"/>
        </w:rPr>
      </w:pPr>
      <w:r w:rsidRPr="001B773C">
        <w:rPr>
          <w:rFonts w:ascii="Times New Roman" w:hAnsi="Times New Roman"/>
          <w:szCs w:val="24"/>
        </w:rPr>
        <w:t>31A-23a-112 – Expands authority to allow the commissioner to place a licensee on probation upon renewal of a license, currently the law only allows the commissioner to put a licensee on probation pursuant to a new license application.</w:t>
      </w:r>
    </w:p>
    <w:p w14:paraId="69E0B3B9" w14:textId="77777777" w:rsidR="00F87722" w:rsidRPr="001B773C" w:rsidRDefault="00393C2D" w:rsidP="00F87722">
      <w:pPr>
        <w:pStyle w:val="ListParagraph"/>
        <w:numPr>
          <w:ilvl w:val="1"/>
          <w:numId w:val="17"/>
        </w:numPr>
        <w:jc w:val="both"/>
        <w:rPr>
          <w:rFonts w:ascii="Times New Roman" w:hAnsi="Times New Roman"/>
          <w:szCs w:val="24"/>
        </w:rPr>
      </w:pPr>
      <w:r w:rsidRPr="001B773C">
        <w:rPr>
          <w:rFonts w:ascii="Times New Roman" w:hAnsi="Times New Roman"/>
          <w:szCs w:val="24"/>
        </w:rPr>
        <w:t xml:space="preserve">31A-26-207 – adds </w:t>
      </w:r>
      <w:r w:rsidR="00C6093D" w:rsidRPr="001B773C">
        <w:rPr>
          <w:rFonts w:ascii="Times New Roman" w:hAnsi="Times New Roman"/>
          <w:szCs w:val="24"/>
        </w:rPr>
        <w:t>requirements</w:t>
      </w:r>
      <w:r w:rsidRPr="001B773C">
        <w:rPr>
          <w:rFonts w:ascii="Times New Roman" w:hAnsi="Times New Roman"/>
          <w:szCs w:val="24"/>
        </w:rPr>
        <w:t xml:space="preserve"> that crop insurance licensees complete </w:t>
      </w:r>
      <w:r w:rsidR="00C6093D" w:rsidRPr="001B773C">
        <w:rPr>
          <w:rFonts w:ascii="Times New Roman" w:hAnsi="Times New Roman"/>
          <w:szCs w:val="24"/>
        </w:rPr>
        <w:t>one of two education courses, as required by federal crop insurance standards.</w:t>
      </w:r>
    </w:p>
    <w:p w14:paraId="6C5B9EC4" w14:textId="76C826A8" w:rsidR="00F87722" w:rsidRPr="001B773C" w:rsidRDefault="00F87722" w:rsidP="00F87722">
      <w:pPr>
        <w:pStyle w:val="ListParagraph"/>
        <w:numPr>
          <w:ilvl w:val="1"/>
          <w:numId w:val="17"/>
        </w:numPr>
        <w:jc w:val="both"/>
        <w:rPr>
          <w:rFonts w:ascii="Times New Roman" w:hAnsi="Times New Roman"/>
          <w:szCs w:val="24"/>
        </w:rPr>
      </w:pPr>
      <w:r w:rsidRPr="001B773C">
        <w:rPr>
          <w:rFonts w:ascii="Times New Roman" w:hAnsi="Times New Roman"/>
          <w:szCs w:val="24"/>
        </w:rPr>
        <w:t xml:space="preserve">Changes the requirement for a producer to be “appointed” by the insurance department to sell on </w:t>
      </w:r>
      <w:r w:rsidR="00311BE0" w:rsidRPr="001B773C">
        <w:rPr>
          <w:rFonts w:ascii="Times New Roman" w:hAnsi="Times New Roman"/>
          <w:szCs w:val="24"/>
        </w:rPr>
        <w:t>the SHOP exchange, AvenueH</w:t>
      </w:r>
      <w:r w:rsidRPr="001B773C">
        <w:rPr>
          <w:rFonts w:ascii="Times New Roman" w:hAnsi="Times New Roman"/>
          <w:szCs w:val="24"/>
        </w:rPr>
        <w:t xml:space="preserve">, to be “credentialed” by the exchange and requires producers to attend Health Insurance Exchange training on </w:t>
      </w:r>
      <w:r w:rsidRPr="001B773C">
        <w:rPr>
          <w:rFonts w:ascii="Times New Roman" w:hAnsi="Times New Roman"/>
          <w:szCs w:val="24"/>
        </w:rPr>
        <w:lastRenderedPageBreak/>
        <w:t>an annual basis in order for the Health Insurance Exchange to consider credentialing a producer.</w:t>
      </w:r>
    </w:p>
    <w:p w14:paraId="777FFAB5" w14:textId="03C1DF61" w:rsidR="00311BE0" w:rsidRPr="001B773C" w:rsidRDefault="00311BE0" w:rsidP="00F87722">
      <w:pPr>
        <w:pStyle w:val="ListParagraph"/>
        <w:numPr>
          <w:ilvl w:val="1"/>
          <w:numId w:val="17"/>
        </w:numPr>
        <w:jc w:val="both"/>
        <w:rPr>
          <w:rFonts w:ascii="Times New Roman" w:hAnsi="Times New Roman"/>
          <w:szCs w:val="24"/>
        </w:rPr>
      </w:pPr>
      <w:r w:rsidRPr="001B773C">
        <w:rPr>
          <w:rFonts w:ascii="Times New Roman" w:hAnsi="Times New Roman"/>
          <w:szCs w:val="24"/>
        </w:rPr>
        <w:t>Allows a producer to provide a client a summary plan description wrap-around product.</w:t>
      </w:r>
    </w:p>
    <w:p w14:paraId="1ECECE64" w14:textId="77777777" w:rsidR="008E11F3" w:rsidRPr="001B773C" w:rsidRDefault="008E11F3" w:rsidP="00F32BDF">
      <w:pPr>
        <w:pStyle w:val="ListParagraph"/>
        <w:ind w:left="1440"/>
        <w:jc w:val="both"/>
        <w:rPr>
          <w:rFonts w:ascii="Times New Roman" w:hAnsi="Times New Roman"/>
          <w:szCs w:val="24"/>
        </w:rPr>
      </w:pPr>
    </w:p>
    <w:p w14:paraId="16E6F485" w14:textId="77777777" w:rsidR="009F7A65" w:rsidRPr="001B773C" w:rsidRDefault="009F7A65" w:rsidP="00387602">
      <w:pPr>
        <w:pStyle w:val="ListParagraph"/>
        <w:numPr>
          <w:ilvl w:val="0"/>
          <w:numId w:val="17"/>
        </w:numPr>
        <w:jc w:val="both"/>
        <w:rPr>
          <w:rFonts w:ascii="Times New Roman" w:hAnsi="Times New Roman"/>
          <w:b/>
          <w:szCs w:val="24"/>
        </w:rPr>
      </w:pPr>
      <w:r w:rsidRPr="001B773C">
        <w:rPr>
          <w:rFonts w:ascii="Times New Roman" w:hAnsi="Times New Roman"/>
          <w:b/>
          <w:szCs w:val="24"/>
        </w:rPr>
        <w:t>Adjusters</w:t>
      </w:r>
    </w:p>
    <w:p w14:paraId="353F5574" w14:textId="77777777" w:rsidR="009F7A65" w:rsidRPr="001B773C" w:rsidRDefault="009F7A65" w:rsidP="00387602">
      <w:pPr>
        <w:pStyle w:val="ListParagraph"/>
        <w:numPr>
          <w:ilvl w:val="1"/>
          <w:numId w:val="17"/>
        </w:numPr>
        <w:jc w:val="both"/>
        <w:rPr>
          <w:rFonts w:ascii="Times New Roman" w:hAnsi="Times New Roman"/>
          <w:b/>
          <w:szCs w:val="24"/>
        </w:rPr>
      </w:pPr>
      <w:proofErr w:type="gramStart"/>
      <w:r w:rsidRPr="001B773C">
        <w:rPr>
          <w:rFonts w:ascii="Times New Roman" w:hAnsi="Times New Roman"/>
          <w:szCs w:val="24"/>
        </w:rPr>
        <w:t>Various changes in Chapter 26 of the Insurance Code to conform to uniform licensing standards set collectively by the states.</w:t>
      </w:r>
      <w:proofErr w:type="gramEnd"/>
      <w:r w:rsidRPr="001B773C">
        <w:rPr>
          <w:rFonts w:ascii="Times New Roman" w:hAnsi="Times New Roman"/>
          <w:szCs w:val="24"/>
        </w:rPr>
        <w:t xml:space="preserve">  </w:t>
      </w:r>
      <w:r w:rsidR="00A35C1A" w:rsidRPr="001B773C">
        <w:rPr>
          <w:rFonts w:ascii="Times New Roman" w:hAnsi="Times New Roman"/>
          <w:szCs w:val="24"/>
        </w:rPr>
        <w:t>D</w:t>
      </w:r>
      <w:r w:rsidRPr="001B773C">
        <w:rPr>
          <w:rFonts w:ascii="Times New Roman" w:hAnsi="Times New Roman"/>
          <w:szCs w:val="24"/>
        </w:rPr>
        <w:t xml:space="preserve">rivers for these changes </w:t>
      </w:r>
      <w:r w:rsidR="00A35C1A" w:rsidRPr="001B773C">
        <w:rPr>
          <w:rFonts w:ascii="Times New Roman" w:hAnsi="Times New Roman"/>
          <w:szCs w:val="24"/>
        </w:rPr>
        <w:t>include:</w:t>
      </w:r>
      <w:r w:rsidRPr="001B773C">
        <w:rPr>
          <w:rFonts w:ascii="Times New Roman" w:hAnsi="Times New Roman"/>
          <w:szCs w:val="24"/>
        </w:rPr>
        <w:t xml:space="preserve"> electronic licensing forms that are being rolled out</w:t>
      </w:r>
      <w:r w:rsidR="007217C4" w:rsidRPr="001B773C">
        <w:rPr>
          <w:rFonts w:ascii="Times New Roman" w:hAnsi="Times New Roman"/>
          <w:szCs w:val="24"/>
        </w:rPr>
        <w:t xml:space="preserve"> by the states; accommodate</w:t>
      </w:r>
      <w:r w:rsidR="00A35C1A" w:rsidRPr="001B773C">
        <w:rPr>
          <w:rFonts w:ascii="Times New Roman" w:hAnsi="Times New Roman"/>
          <w:szCs w:val="24"/>
        </w:rPr>
        <w:t xml:space="preserve"> reciprocity</w:t>
      </w:r>
      <w:r w:rsidR="007217C4" w:rsidRPr="001B773C">
        <w:rPr>
          <w:rFonts w:ascii="Times New Roman" w:hAnsi="Times New Roman"/>
          <w:szCs w:val="24"/>
        </w:rPr>
        <w:t xml:space="preserve"> between states</w:t>
      </w:r>
      <w:r w:rsidR="00A35C1A" w:rsidRPr="001B773C">
        <w:rPr>
          <w:rFonts w:ascii="Times New Roman" w:hAnsi="Times New Roman"/>
          <w:szCs w:val="24"/>
        </w:rPr>
        <w:t xml:space="preserve"> </w:t>
      </w:r>
      <w:r w:rsidR="00D9230C" w:rsidRPr="001B773C">
        <w:rPr>
          <w:rFonts w:ascii="Times New Roman" w:hAnsi="Times New Roman"/>
          <w:szCs w:val="24"/>
        </w:rPr>
        <w:t>in accordance with the Gramm-Leach-Bliley Act, to ensure continued state based regulation of insurance;</w:t>
      </w:r>
      <w:r w:rsidRPr="001B773C">
        <w:rPr>
          <w:rFonts w:ascii="Times New Roman" w:hAnsi="Times New Roman"/>
          <w:szCs w:val="24"/>
        </w:rPr>
        <w:t xml:space="preserve"> and to recognize that not all states license adjusters </w:t>
      </w:r>
      <w:r w:rsidR="00D9230C" w:rsidRPr="001B773C">
        <w:rPr>
          <w:rFonts w:ascii="Times New Roman" w:hAnsi="Times New Roman"/>
          <w:szCs w:val="24"/>
        </w:rPr>
        <w:t>and make appropriate accommodations related to that fact.</w:t>
      </w:r>
    </w:p>
    <w:p w14:paraId="4700B244" w14:textId="77777777" w:rsidR="008E11F3" w:rsidRPr="001B773C" w:rsidRDefault="008E11F3" w:rsidP="00C6093D">
      <w:pPr>
        <w:pStyle w:val="ListParagraph"/>
        <w:jc w:val="both"/>
        <w:rPr>
          <w:rFonts w:ascii="Times New Roman" w:hAnsi="Times New Roman"/>
          <w:szCs w:val="24"/>
        </w:rPr>
      </w:pPr>
    </w:p>
    <w:p w14:paraId="6BFAAB68" w14:textId="77777777" w:rsidR="002C12F6" w:rsidRPr="001B773C" w:rsidRDefault="002C12F6" w:rsidP="002C12F6">
      <w:pPr>
        <w:pStyle w:val="ListParagraph"/>
        <w:numPr>
          <w:ilvl w:val="3"/>
          <w:numId w:val="17"/>
        </w:numPr>
        <w:ind w:left="720"/>
        <w:jc w:val="both"/>
        <w:rPr>
          <w:rFonts w:ascii="Times New Roman" w:hAnsi="Times New Roman"/>
          <w:b/>
          <w:szCs w:val="24"/>
        </w:rPr>
      </w:pPr>
      <w:r w:rsidRPr="001B773C">
        <w:rPr>
          <w:rFonts w:ascii="Times New Roman" w:hAnsi="Times New Roman"/>
          <w:b/>
          <w:szCs w:val="24"/>
        </w:rPr>
        <w:t xml:space="preserve">Miscellaneous </w:t>
      </w:r>
    </w:p>
    <w:p w14:paraId="29EDC669" w14:textId="70A1FEE9" w:rsidR="007E05E6" w:rsidRPr="001B773C" w:rsidRDefault="007E05E6" w:rsidP="007E05E6">
      <w:pPr>
        <w:pStyle w:val="ListParagraph"/>
        <w:numPr>
          <w:ilvl w:val="1"/>
          <w:numId w:val="17"/>
        </w:numPr>
        <w:jc w:val="both"/>
        <w:rPr>
          <w:rFonts w:ascii="Times New Roman" w:hAnsi="Times New Roman"/>
          <w:b/>
          <w:szCs w:val="24"/>
        </w:rPr>
      </w:pPr>
      <w:r w:rsidRPr="001B773C">
        <w:rPr>
          <w:rFonts w:ascii="Times New Roman" w:hAnsi="Times New Roman"/>
          <w:szCs w:val="24"/>
        </w:rPr>
        <w:t>Updates definition of a PEO issued policy from a “multiple coordinated” to a “master” policy to be consistent with definition and terms used by the Labor Department.</w:t>
      </w:r>
    </w:p>
    <w:p w14:paraId="1A344DF1" w14:textId="77777777" w:rsidR="00BC1E52" w:rsidRPr="001B773C" w:rsidRDefault="00BC1E52" w:rsidP="00BC1E52">
      <w:pPr>
        <w:pStyle w:val="ListParagraph"/>
        <w:numPr>
          <w:ilvl w:val="4"/>
          <w:numId w:val="17"/>
        </w:numPr>
        <w:ind w:left="1440"/>
        <w:jc w:val="both"/>
        <w:rPr>
          <w:rFonts w:ascii="Times New Roman" w:hAnsi="Times New Roman"/>
          <w:szCs w:val="24"/>
        </w:rPr>
      </w:pPr>
      <w:r w:rsidRPr="001B773C">
        <w:rPr>
          <w:rFonts w:ascii="Times New Roman" w:hAnsi="Times New Roman"/>
          <w:szCs w:val="24"/>
        </w:rPr>
        <w:t>31A-27a-102 - Clarifies that the term “receiver” means the commissioner or designee.</w:t>
      </w:r>
    </w:p>
    <w:p w14:paraId="79A71743" w14:textId="57CB7FE6" w:rsidR="00BC1E52" w:rsidRPr="001B773C" w:rsidRDefault="00BC1E52" w:rsidP="00BC1E52">
      <w:pPr>
        <w:pStyle w:val="ListParagraph"/>
        <w:numPr>
          <w:ilvl w:val="4"/>
          <w:numId w:val="17"/>
        </w:numPr>
        <w:ind w:left="1440"/>
        <w:jc w:val="both"/>
        <w:rPr>
          <w:rFonts w:ascii="Times New Roman" w:hAnsi="Times New Roman"/>
          <w:szCs w:val="24"/>
        </w:rPr>
      </w:pPr>
      <w:r w:rsidRPr="001B773C">
        <w:rPr>
          <w:rFonts w:ascii="Times New Roman" w:hAnsi="Times New Roman"/>
          <w:szCs w:val="24"/>
        </w:rPr>
        <w:t>31A-27a-107 - Updates receivership statutes to require claimants to provide contact information including a physical address, fax number and email and allows the receiver to provide notice electronically, to conform with Utah courts’ electronic filing requirements.</w:t>
      </w:r>
    </w:p>
    <w:p w14:paraId="56D4925D" w14:textId="478FEE0F" w:rsidR="00FC310C" w:rsidRPr="001B773C" w:rsidRDefault="00F475FA" w:rsidP="00FC310C">
      <w:pPr>
        <w:pStyle w:val="ListParagraph"/>
        <w:numPr>
          <w:ilvl w:val="4"/>
          <w:numId w:val="17"/>
        </w:numPr>
        <w:ind w:left="1440"/>
        <w:jc w:val="both"/>
        <w:rPr>
          <w:rFonts w:ascii="Times New Roman" w:hAnsi="Times New Roman"/>
          <w:szCs w:val="24"/>
        </w:rPr>
      </w:pPr>
      <w:r w:rsidRPr="001B773C">
        <w:rPr>
          <w:rFonts w:ascii="Times New Roman" w:hAnsi="Times New Roman"/>
          <w:szCs w:val="24"/>
        </w:rPr>
        <w:t>31A-27a-201 – In the receivership and liquidation chapter, makes technical changes to clarify that</w:t>
      </w:r>
      <w:r w:rsidR="00F32BDF" w:rsidRPr="001B773C">
        <w:rPr>
          <w:rFonts w:ascii="Times New Roman" w:hAnsi="Times New Roman"/>
          <w:szCs w:val="24"/>
        </w:rPr>
        <w:t>: 1)</w:t>
      </w:r>
      <w:r w:rsidRPr="001B773C">
        <w:rPr>
          <w:rFonts w:ascii="Times New Roman" w:hAnsi="Times New Roman"/>
          <w:szCs w:val="24"/>
        </w:rPr>
        <w:t xml:space="preserve"> an insurer seized pursuant to an ex parte court order has a right to a hearing to review the basis of the seizure order, not just the seizure order; </w:t>
      </w:r>
      <w:r w:rsidR="00F32BDF" w:rsidRPr="001B773C">
        <w:rPr>
          <w:rFonts w:ascii="Times New Roman" w:hAnsi="Times New Roman"/>
          <w:szCs w:val="24"/>
        </w:rPr>
        <w:t xml:space="preserve">2) </w:t>
      </w:r>
      <w:r w:rsidRPr="001B773C">
        <w:rPr>
          <w:rFonts w:ascii="Times New Roman" w:hAnsi="Times New Roman"/>
          <w:szCs w:val="24"/>
        </w:rPr>
        <w:t xml:space="preserve">gives some flexibility to the court to hold said hearing as soon as the court may allow, instead of the current language that it </w:t>
      </w:r>
      <w:r w:rsidRPr="001B773C">
        <w:rPr>
          <w:rFonts w:ascii="Times New Roman" w:hAnsi="Times New Roman"/>
          <w:i/>
          <w:szCs w:val="24"/>
        </w:rPr>
        <w:t>must</w:t>
      </w:r>
      <w:r w:rsidRPr="001B773C">
        <w:rPr>
          <w:rFonts w:ascii="Times New Roman" w:hAnsi="Times New Roman"/>
          <w:szCs w:val="24"/>
        </w:rPr>
        <w:t xml:space="preserve"> be held within 15 days; and </w:t>
      </w:r>
      <w:r w:rsidR="00F32BDF" w:rsidRPr="001B773C">
        <w:rPr>
          <w:rFonts w:ascii="Times New Roman" w:hAnsi="Times New Roman"/>
          <w:szCs w:val="24"/>
        </w:rPr>
        <w:t xml:space="preserve">3) </w:t>
      </w:r>
      <w:r w:rsidRPr="001B773C">
        <w:rPr>
          <w:rFonts w:ascii="Times New Roman" w:hAnsi="Times New Roman"/>
          <w:szCs w:val="24"/>
        </w:rPr>
        <w:t xml:space="preserve">clarifies that the receiver appointed by the commissioner has </w:t>
      </w:r>
      <w:r w:rsidR="00F32BDF" w:rsidRPr="001B773C">
        <w:rPr>
          <w:rFonts w:ascii="Times New Roman" w:hAnsi="Times New Roman"/>
          <w:szCs w:val="24"/>
        </w:rPr>
        <w:t>his/her</w:t>
      </w:r>
      <w:r w:rsidRPr="001B773C">
        <w:rPr>
          <w:rFonts w:ascii="Times New Roman" w:hAnsi="Times New Roman"/>
          <w:szCs w:val="24"/>
        </w:rPr>
        <w:t xml:space="preserve"> fees paid by the estate of the insurer.</w:t>
      </w:r>
    </w:p>
    <w:p w14:paraId="7F1F00A7" w14:textId="77777777" w:rsidR="001B773C" w:rsidRPr="001B773C" w:rsidRDefault="001B773C" w:rsidP="00FC310C">
      <w:pPr>
        <w:ind w:left="1080"/>
        <w:jc w:val="both"/>
        <w:rPr>
          <w:rFonts w:ascii="Times New Roman" w:hAnsi="Times New Roman"/>
          <w:szCs w:val="24"/>
        </w:rPr>
      </w:pPr>
    </w:p>
    <w:p w14:paraId="2863CFD8" w14:textId="4719B88F" w:rsidR="00FC310C" w:rsidRPr="001B773C" w:rsidRDefault="00FC310C" w:rsidP="00FC310C">
      <w:pPr>
        <w:pStyle w:val="ListParagraph"/>
        <w:numPr>
          <w:ilvl w:val="0"/>
          <w:numId w:val="17"/>
        </w:numPr>
        <w:jc w:val="both"/>
        <w:rPr>
          <w:rFonts w:ascii="Times New Roman" w:hAnsi="Times New Roman"/>
          <w:b/>
          <w:szCs w:val="24"/>
        </w:rPr>
      </w:pPr>
      <w:r w:rsidRPr="001B773C">
        <w:rPr>
          <w:rFonts w:ascii="Times New Roman" w:hAnsi="Times New Roman"/>
          <w:b/>
          <w:szCs w:val="24"/>
        </w:rPr>
        <w:t>Navigators</w:t>
      </w:r>
    </w:p>
    <w:p w14:paraId="18296B3C" w14:textId="6E4DB3C5" w:rsidR="00FC310C" w:rsidRPr="001B773C" w:rsidRDefault="00FC310C" w:rsidP="00FC310C">
      <w:pPr>
        <w:pStyle w:val="ListParagraph"/>
        <w:numPr>
          <w:ilvl w:val="1"/>
          <w:numId w:val="17"/>
        </w:numPr>
        <w:jc w:val="both"/>
        <w:rPr>
          <w:rFonts w:ascii="Times New Roman" w:hAnsi="Times New Roman"/>
          <w:szCs w:val="24"/>
        </w:rPr>
      </w:pPr>
      <w:r w:rsidRPr="001B773C">
        <w:rPr>
          <w:rFonts w:ascii="Times New Roman" w:hAnsi="Times New Roman"/>
          <w:szCs w:val="24"/>
        </w:rPr>
        <w:t xml:space="preserve">31A-23b-202 – Changes the licensing requirement for a navigator, as provided in the ACA, to a </w:t>
      </w:r>
      <w:proofErr w:type="gramStart"/>
      <w:r w:rsidRPr="001B773C">
        <w:rPr>
          <w:rFonts w:ascii="Times New Roman" w:hAnsi="Times New Roman"/>
          <w:szCs w:val="24"/>
        </w:rPr>
        <w:t>1 year</w:t>
      </w:r>
      <w:proofErr w:type="gramEnd"/>
      <w:r w:rsidRPr="001B773C">
        <w:rPr>
          <w:rFonts w:ascii="Times New Roman" w:hAnsi="Times New Roman"/>
          <w:szCs w:val="24"/>
        </w:rPr>
        <w:t xml:space="preserve"> license from the current 2 year license.  The training required by the U.S. Department for Health &amp; Human Services (HHS) training and certification for navigators is an annual process.   This change is consistent with the education and c</w:t>
      </w:r>
      <w:r w:rsidR="004105C5" w:rsidRPr="001B773C">
        <w:rPr>
          <w:rFonts w:ascii="Times New Roman" w:hAnsi="Times New Roman"/>
          <w:szCs w:val="24"/>
        </w:rPr>
        <w:t>ertification requirements of CCIO</w:t>
      </w:r>
      <w:r w:rsidRPr="001B773C">
        <w:rPr>
          <w:rFonts w:ascii="Times New Roman" w:hAnsi="Times New Roman"/>
          <w:szCs w:val="24"/>
        </w:rPr>
        <w:t>.</w:t>
      </w:r>
    </w:p>
    <w:p w14:paraId="0803A781" w14:textId="77777777" w:rsidR="00FC310C" w:rsidRPr="001B773C" w:rsidRDefault="00FC310C" w:rsidP="00FC310C">
      <w:pPr>
        <w:pStyle w:val="ListParagraph"/>
        <w:numPr>
          <w:ilvl w:val="1"/>
          <w:numId w:val="17"/>
        </w:numPr>
        <w:jc w:val="both"/>
        <w:rPr>
          <w:rFonts w:ascii="Times New Roman" w:hAnsi="Times New Roman"/>
          <w:szCs w:val="24"/>
        </w:rPr>
      </w:pPr>
      <w:r w:rsidRPr="001B773C">
        <w:rPr>
          <w:rFonts w:ascii="Times New Roman" w:hAnsi="Times New Roman"/>
          <w:szCs w:val="24"/>
        </w:rPr>
        <w:t xml:space="preserve">31A-23b-205 – Establishes that a person applying for the first time for a navigator license must complete 21 hours of training before licensure, including a </w:t>
      </w:r>
      <w:proofErr w:type="gramStart"/>
      <w:r w:rsidRPr="001B773C">
        <w:rPr>
          <w:rFonts w:ascii="Times New Roman" w:hAnsi="Times New Roman"/>
          <w:szCs w:val="24"/>
        </w:rPr>
        <w:t>1 hour</w:t>
      </w:r>
      <w:proofErr w:type="gramEnd"/>
      <w:r w:rsidRPr="001B773C">
        <w:rPr>
          <w:rFonts w:ascii="Times New Roman" w:hAnsi="Times New Roman"/>
          <w:szCs w:val="24"/>
        </w:rPr>
        <w:t xml:space="preserve"> course on Avenue H.</w:t>
      </w:r>
    </w:p>
    <w:p w14:paraId="0D592254" w14:textId="5AC1C4A1" w:rsidR="00BA5D3F" w:rsidRPr="001B773C" w:rsidRDefault="00FC310C" w:rsidP="00BA5D3F">
      <w:pPr>
        <w:pStyle w:val="ListParagraph"/>
        <w:numPr>
          <w:ilvl w:val="1"/>
          <w:numId w:val="17"/>
        </w:numPr>
        <w:jc w:val="both"/>
        <w:rPr>
          <w:rFonts w:ascii="Times New Roman" w:hAnsi="Times New Roman"/>
          <w:szCs w:val="24"/>
        </w:rPr>
      </w:pPr>
      <w:r w:rsidRPr="001B773C">
        <w:rPr>
          <w:rFonts w:ascii="Times New Roman" w:hAnsi="Times New Roman"/>
          <w:szCs w:val="24"/>
        </w:rPr>
        <w:t xml:space="preserve">31A-23b-206 – For navigator licensees, changes the number of required continuing education hours from 24 in a </w:t>
      </w:r>
      <w:proofErr w:type="gramStart"/>
      <w:r w:rsidRPr="001B773C">
        <w:rPr>
          <w:rFonts w:ascii="Times New Roman" w:hAnsi="Times New Roman"/>
          <w:szCs w:val="24"/>
        </w:rPr>
        <w:t>two year</w:t>
      </w:r>
      <w:proofErr w:type="gramEnd"/>
      <w:r w:rsidRPr="001B773C">
        <w:rPr>
          <w:rFonts w:ascii="Times New Roman" w:hAnsi="Times New Roman"/>
          <w:szCs w:val="24"/>
        </w:rPr>
        <w:t xml:space="preserve"> period to 12 hours each year, consistent with the annual training and certification required by HHS for navigators.</w:t>
      </w:r>
    </w:p>
    <w:p w14:paraId="35F67864" w14:textId="0AE3F312" w:rsidR="004105C5" w:rsidRPr="001B773C" w:rsidRDefault="001B773C" w:rsidP="001B773C">
      <w:pPr>
        <w:pStyle w:val="ListParagraph"/>
        <w:numPr>
          <w:ilvl w:val="1"/>
          <w:numId w:val="17"/>
        </w:numPr>
        <w:jc w:val="both"/>
        <w:rPr>
          <w:rFonts w:ascii="Times New Roman" w:hAnsi="Times New Roman"/>
          <w:szCs w:val="24"/>
        </w:rPr>
      </w:pPr>
      <w:r>
        <w:rPr>
          <w:rFonts w:ascii="Times New Roman" w:hAnsi="Times New Roman"/>
          <w:szCs w:val="24"/>
        </w:rPr>
        <w:t>Anticipate</w:t>
      </w:r>
      <w:r w:rsidR="004105C5" w:rsidRPr="001B773C">
        <w:rPr>
          <w:rFonts w:ascii="Times New Roman" w:hAnsi="Times New Roman"/>
          <w:szCs w:val="24"/>
        </w:rPr>
        <w:t xml:space="preserve"> the Health System Reform Task Force bill will all</w:t>
      </w:r>
      <w:r w:rsidR="00111CBC">
        <w:rPr>
          <w:rFonts w:ascii="Times New Roman" w:hAnsi="Times New Roman"/>
          <w:szCs w:val="24"/>
        </w:rPr>
        <w:t>ow</w:t>
      </w:r>
      <w:bookmarkStart w:id="0" w:name="_GoBack"/>
      <w:bookmarkEnd w:id="0"/>
      <w:r w:rsidR="004105C5" w:rsidRPr="001B773C">
        <w:rPr>
          <w:rFonts w:ascii="Times New Roman" w:hAnsi="Times New Roman"/>
          <w:szCs w:val="24"/>
        </w:rPr>
        <w:t xml:space="preserve"> for a separate class of Navigator licenses to accommodate Certified Application Counselors.</w:t>
      </w:r>
    </w:p>
    <w:sectPr w:rsidR="004105C5" w:rsidRPr="001B773C" w:rsidSect="00E05216">
      <w:footerReference w:type="default" r:id="rId9"/>
      <w:pgSz w:w="12240" w:h="15840"/>
      <w:pgMar w:top="1350" w:right="1440" w:bottom="27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46436" w14:textId="77777777" w:rsidR="001B773C" w:rsidRDefault="001B773C" w:rsidP="007B4795">
      <w:r>
        <w:separator/>
      </w:r>
    </w:p>
  </w:endnote>
  <w:endnote w:type="continuationSeparator" w:id="0">
    <w:p w14:paraId="4C61E668" w14:textId="77777777" w:rsidR="001B773C" w:rsidRDefault="001B773C" w:rsidP="007B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006762"/>
      <w:docPartObj>
        <w:docPartGallery w:val="Page Numbers (Bottom of Page)"/>
        <w:docPartUnique/>
      </w:docPartObj>
    </w:sdtPr>
    <w:sdtEndPr>
      <w:rPr>
        <w:noProof/>
      </w:rPr>
    </w:sdtEndPr>
    <w:sdtContent>
      <w:p w14:paraId="07B28206" w14:textId="77777777" w:rsidR="001B773C" w:rsidRDefault="001B773C">
        <w:pPr>
          <w:pStyle w:val="Footer"/>
          <w:jc w:val="center"/>
        </w:pPr>
        <w:r>
          <w:fldChar w:fldCharType="begin"/>
        </w:r>
        <w:r>
          <w:instrText xml:space="preserve"> PAGE   \* MERGEFORMAT </w:instrText>
        </w:r>
        <w:r>
          <w:fldChar w:fldCharType="separate"/>
        </w:r>
        <w:r w:rsidR="00111CBC">
          <w:rPr>
            <w:noProof/>
          </w:rPr>
          <w:t>3</w:t>
        </w:r>
        <w:r>
          <w:rPr>
            <w:noProof/>
          </w:rPr>
          <w:fldChar w:fldCharType="end"/>
        </w:r>
      </w:p>
    </w:sdtContent>
  </w:sdt>
  <w:p w14:paraId="6632C737" w14:textId="77777777" w:rsidR="001B773C" w:rsidRDefault="001B77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0CAA0" w14:textId="77777777" w:rsidR="001B773C" w:rsidRDefault="001B773C" w:rsidP="007B4795">
      <w:r>
        <w:separator/>
      </w:r>
    </w:p>
  </w:footnote>
  <w:footnote w:type="continuationSeparator" w:id="0">
    <w:p w14:paraId="3864133E" w14:textId="77777777" w:rsidR="001B773C" w:rsidRDefault="001B773C" w:rsidP="007B47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AEC"/>
    <w:multiLevelType w:val="hybridMultilevel"/>
    <w:tmpl w:val="73F6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B2AA8"/>
    <w:multiLevelType w:val="hybridMultilevel"/>
    <w:tmpl w:val="4A066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430F4"/>
    <w:multiLevelType w:val="hybridMultilevel"/>
    <w:tmpl w:val="6910F47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4472AC"/>
    <w:multiLevelType w:val="hybridMultilevel"/>
    <w:tmpl w:val="A20ADE0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4F19C6"/>
    <w:multiLevelType w:val="hybridMultilevel"/>
    <w:tmpl w:val="DD2A3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74797"/>
    <w:multiLevelType w:val="hybridMultilevel"/>
    <w:tmpl w:val="72CC97E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52A6686"/>
    <w:multiLevelType w:val="hybridMultilevel"/>
    <w:tmpl w:val="E2E88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47FB0"/>
    <w:multiLevelType w:val="hybridMultilevel"/>
    <w:tmpl w:val="7A6634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9B3806"/>
    <w:multiLevelType w:val="hybridMultilevel"/>
    <w:tmpl w:val="FF96B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D2FA9"/>
    <w:multiLevelType w:val="hybridMultilevel"/>
    <w:tmpl w:val="592E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4A3D7A"/>
    <w:multiLevelType w:val="hybridMultilevel"/>
    <w:tmpl w:val="49A0E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544F54"/>
    <w:multiLevelType w:val="hybridMultilevel"/>
    <w:tmpl w:val="2A70719C"/>
    <w:lvl w:ilvl="0" w:tplc="4A703F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540A55F3"/>
    <w:multiLevelType w:val="hybridMultilevel"/>
    <w:tmpl w:val="1E20334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6956C6"/>
    <w:multiLevelType w:val="hybridMultilevel"/>
    <w:tmpl w:val="874E43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23E3735"/>
    <w:multiLevelType w:val="hybridMultilevel"/>
    <w:tmpl w:val="60F6542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7D82215"/>
    <w:multiLevelType w:val="hybridMultilevel"/>
    <w:tmpl w:val="69BA7D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6740E67"/>
    <w:multiLevelType w:val="hybridMultilevel"/>
    <w:tmpl w:val="2B466E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72523DA"/>
    <w:multiLevelType w:val="hybridMultilevel"/>
    <w:tmpl w:val="39BA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14"/>
  </w:num>
  <w:num w:numId="8">
    <w:abstractNumId w:val="15"/>
  </w:num>
  <w:num w:numId="9">
    <w:abstractNumId w:val="0"/>
  </w:num>
  <w:num w:numId="10">
    <w:abstractNumId w:val="9"/>
  </w:num>
  <w:num w:numId="11">
    <w:abstractNumId w:val="16"/>
  </w:num>
  <w:num w:numId="12">
    <w:abstractNumId w:val="1"/>
  </w:num>
  <w:num w:numId="13">
    <w:abstractNumId w:val="17"/>
  </w:num>
  <w:num w:numId="14">
    <w:abstractNumId w:val="8"/>
  </w:num>
  <w:num w:numId="15">
    <w:abstractNumId w:val="5"/>
  </w:num>
  <w:num w:numId="16">
    <w:abstractNumId w:val="4"/>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42"/>
    <w:rsid w:val="00004083"/>
    <w:rsid w:val="00021326"/>
    <w:rsid w:val="00074CC7"/>
    <w:rsid w:val="00074DD5"/>
    <w:rsid w:val="000A5377"/>
    <w:rsid w:val="000A5ADA"/>
    <w:rsid w:val="000B76B1"/>
    <w:rsid w:val="00111CBC"/>
    <w:rsid w:val="001148EE"/>
    <w:rsid w:val="001352CD"/>
    <w:rsid w:val="001556BF"/>
    <w:rsid w:val="001932A6"/>
    <w:rsid w:val="001A2C96"/>
    <w:rsid w:val="001B773C"/>
    <w:rsid w:val="001D0400"/>
    <w:rsid w:val="001E21F8"/>
    <w:rsid w:val="00230E91"/>
    <w:rsid w:val="002534EC"/>
    <w:rsid w:val="002A31ED"/>
    <w:rsid w:val="002A619B"/>
    <w:rsid w:val="002C0174"/>
    <w:rsid w:val="002C12F6"/>
    <w:rsid w:val="002F1012"/>
    <w:rsid w:val="003105B3"/>
    <w:rsid w:val="00311BE0"/>
    <w:rsid w:val="003259C6"/>
    <w:rsid w:val="00331FDC"/>
    <w:rsid w:val="00335D7B"/>
    <w:rsid w:val="00341F8E"/>
    <w:rsid w:val="00342788"/>
    <w:rsid w:val="00343B70"/>
    <w:rsid w:val="00387602"/>
    <w:rsid w:val="00393C2D"/>
    <w:rsid w:val="003B7182"/>
    <w:rsid w:val="003E284E"/>
    <w:rsid w:val="004033CB"/>
    <w:rsid w:val="004105C5"/>
    <w:rsid w:val="0041216D"/>
    <w:rsid w:val="004137C2"/>
    <w:rsid w:val="004506B6"/>
    <w:rsid w:val="004644BF"/>
    <w:rsid w:val="00464C14"/>
    <w:rsid w:val="004B55FB"/>
    <w:rsid w:val="004C2C37"/>
    <w:rsid w:val="00500701"/>
    <w:rsid w:val="00503E4B"/>
    <w:rsid w:val="00513E9C"/>
    <w:rsid w:val="005330A3"/>
    <w:rsid w:val="005373B3"/>
    <w:rsid w:val="00541F74"/>
    <w:rsid w:val="00586969"/>
    <w:rsid w:val="005A1855"/>
    <w:rsid w:val="005F0C6F"/>
    <w:rsid w:val="00610C32"/>
    <w:rsid w:val="00610F68"/>
    <w:rsid w:val="00617C92"/>
    <w:rsid w:val="006256CB"/>
    <w:rsid w:val="006579D9"/>
    <w:rsid w:val="006A063F"/>
    <w:rsid w:val="006F02D1"/>
    <w:rsid w:val="006F0648"/>
    <w:rsid w:val="007217C4"/>
    <w:rsid w:val="00731852"/>
    <w:rsid w:val="007475F9"/>
    <w:rsid w:val="007518A7"/>
    <w:rsid w:val="007666E8"/>
    <w:rsid w:val="00770D46"/>
    <w:rsid w:val="00781184"/>
    <w:rsid w:val="00784D63"/>
    <w:rsid w:val="0079437E"/>
    <w:rsid w:val="007B4795"/>
    <w:rsid w:val="007C0FF1"/>
    <w:rsid w:val="007D1ACE"/>
    <w:rsid w:val="007D2B58"/>
    <w:rsid w:val="007E05E6"/>
    <w:rsid w:val="007F272A"/>
    <w:rsid w:val="00804C00"/>
    <w:rsid w:val="00847816"/>
    <w:rsid w:val="0085285F"/>
    <w:rsid w:val="0088208F"/>
    <w:rsid w:val="00893651"/>
    <w:rsid w:val="008E11F3"/>
    <w:rsid w:val="008E3178"/>
    <w:rsid w:val="008F00CD"/>
    <w:rsid w:val="008F21CC"/>
    <w:rsid w:val="009543AA"/>
    <w:rsid w:val="00954FAD"/>
    <w:rsid w:val="00956241"/>
    <w:rsid w:val="00960279"/>
    <w:rsid w:val="009A3EB9"/>
    <w:rsid w:val="009A593D"/>
    <w:rsid w:val="009B334E"/>
    <w:rsid w:val="009C0F41"/>
    <w:rsid w:val="009D6B30"/>
    <w:rsid w:val="009E05B5"/>
    <w:rsid w:val="009E7C55"/>
    <w:rsid w:val="009F7A65"/>
    <w:rsid w:val="00A145CC"/>
    <w:rsid w:val="00A2029D"/>
    <w:rsid w:val="00A27353"/>
    <w:rsid w:val="00A34EB4"/>
    <w:rsid w:val="00A35C1A"/>
    <w:rsid w:val="00A41477"/>
    <w:rsid w:val="00A75071"/>
    <w:rsid w:val="00A83F4A"/>
    <w:rsid w:val="00A84397"/>
    <w:rsid w:val="00A925ED"/>
    <w:rsid w:val="00AC5A6D"/>
    <w:rsid w:val="00AF6A9A"/>
    <w:rsid w:val="00B33BCC"/>
    <w:rsid w:val="00B46E81"/>
    <w:rsid w:val="00B92999"/>
    <w:rsid w:val="00B97415"/>
    <w:rsid w:val="00BA5D3F"/>
    <w:rsid w:val="00BB3275"/>
    <w:rsid w:val="00BC066D"/>
    <w:rsid w:val="00BC1E52"/>
    <w:rsid w:val="00C038CF"/>
    <w:rsid w:val="00C045C7"/>
    <w:rsid w:val="00C051FF"/>
    <w:rsid w:val="00C17F1B"/>
    <w:rsid w:val="00C22F3F"/>
    <w:rsid w:val="00C23FDC"/>
    <w:rsid w:val="00C26E69"/>
    <w:rsid w:val="00C4052A"/>
    <w:rsid w:val="00C424BA"/>
    <w:rsid w:val="00C6093D"/>
    <w:rsid w:val="00C61342"/>
    <w:rsid w:val="00CA563C"/>
    <w:rsid w:val="00CC0DAD"/>
    <w:rsid w:val="00CF2CCE"/>
    <w:rsid w:val="00D0123A"/>
    <w:rsid w:val="00D06B4E"/>
    <w:rsid w:val="00D07CC7"/>
    <w:rsid w:val="00D21920"/>
    <w:rsid w:val="00D47853"/>
    <w:rsid w:val="00D60C1F"/>
    <w:rsid w:val="00D803D6"/>
    <w:rsid w:val="00D9230C"/>
    <w:rsid w:val="00D935B3"/>
    <w:rsid w:val="00D96809"/>
    <w:rsid w:val="00DC5A66"/>
    <w:rsid w:val="00DC785A"/>
    <w:rsid w:val="00DF70F9"/>
    <w:rsid w:val="00E05216"/>
    <w:rsid w:val="00E45E26"/>
    <w:rsid w:val="00E52440"/>
    <w:rsid w:val="00E608AF"/>
    <w:rsid w:val="00E63693"/>
    <w:rsid w:val="00E63C3C"/>
    <w:rsid w:val="00E82981"/>
    <w:rsid w:val="00EA371E"/>
    <w:rsid w:val="00EB1AA1"/>
    <w:rsid w:val="00EB55BD"/>
    <w:rsid w:val="00ED7E97"/>
    <w:rsid w:val="00EF20BE"/>
    <w:rsid w:val="00F170C9"/>
    <w:rsid w:val="00F17480"/>
    <w:rsid w:val="00F20EF7"/>
    <w:rsid w:val="00F32BDF"/>
    <w:rsid w:val="00F45243"/>
    <w:rsid w:val="00F475FA"/>
    <w:rsid w:val="00F60B72"/>
    <w:rsid w:val="00F861DE"/>
    <w:rsid w:val="00F87722"/>
    <w:rsid w:val="00F978B5"/>
    <w:rsid w:val="00FA1900"/>
    <w:rsid w:val="00FC310C"/>
    <w:rsid w:val="00FD0DCD"/>
    <w:rsid w:val="00FD7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B0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342"/>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C61342"/>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342"/>
    <w:rPr>
      <w:rFonts w:ascii="Times New Roman" w:eastAsia="Times New Roman" w:hAnsi="Times New Roman" w:cs="Times New Roman"/>
      <w:b/>
      <w:sz w:val="24"/>
      <w:szCs w:val="20"/>
    </w:rPr>
  </w:style>
  <w:style w:type="paragraph" w:styleId="Title">
    <w:name w:val="Title"/>
    <w:basedOn w:val="Normal"/>
    <w:link w:val="TitleChar"/>
    <w:qFormat/>
    <w:rsid w:val="00C61342"/>
    <w:pPr>
      <w:jc w:val="center"/>
    </w:pPr>
    <w:rPr>
      <w:b/>
    </w:rPr>
  </w:style>
  <w:style w:type="character" w:customStyle="1" w:styleId="TitleChar">
    <w:name w:val="Title Char"/>
    <w:basedOn w:val="DefaultParagraphFont"/>
    <w:link w:val="Title"/>
    <w:rsid w:val="00C61342"/>
    <w:rPr>
      <w:rFonts w:ascii="CG Times" w:eastAsia="Times New Roman" w:hAnsi="CG Times" w:cs="Times New Roman"/>
      <w:b/>
      <w:sz w:val="24"/>
      <w:szCs w:val="20"/>
    </w:rPr>
  </w:style>
  <w:style w:type="paragraph" w:customStyle="1" w:styleId="FirmName">
    <w:name w:val="Firm Name"/>
    <w:basedOn w:val="Normal"/>
    <w:rsid w:val="00C61342"/>
    <w:pPr>
      <w:spacing w:line="245" w:lineRule="exact"/>
      <w:jc w:val="center"/>
    </w:pPr>
    <w:rPr>
      <w:rFonts w:ascii="Times New Roman" w:hAnsi="Times New Roman"/>
      <w:sz w:val="20"/>
    </w:rPr>
  </w:style>
  <w:style w:type="paragraph" w:styleId="ListParagraph">
    <w:name w:val="List Paragraph"/>
    <w:basedOn w:val="Normal"/>
    <w:uiPriority w:val="34"/>
    <w:qFormat/>
    <w:rsid w:val="00F978B5"/>
    <w:pPr>
      <w:ind w:left="720"/>
      <w:contextualSpacing/>
    </w:pPr>
  </w:style>
  <w:style w:type="character" w:styleId="CommentReference">
    <w:name w:val="annotation reference"/>
    <w:basedOn w:val="DefaultParagraphFont"/>
    <w:uiPriority w:val="99"/>
    <w:semiHidden/>
    <w:unhideWhenUsed/>
    <w:rsid w:val="00E63C3C"/>
    <w:rPr>
      <w:sz w:val="16"/>
      <w:szCs w:val="16"/>
    </w:rPr>
  </w:style>
  <w:style w:type="paragraph" w:styleId="CommentText">
    <w:name w:val="annotation text"/>
    <w:basedOn w:val="Normal"/>
    <w:link w:val="CommentTextChar"/>
    <w:uiPriority w:val="99"/>
    <w:semiHidden/>
    <w:unhideWhenUsed/>
    <w:rsid w:val="00E63C3C"/>
    <w:rPr>
      <w:sz w:val="20"/>
    </w:rPr>
  </w:style>
  <w:style w:type="character" w:customStyle="1" w:styleId="CommentTextChar">
    <w:name w:val="Comment Text Char"/>
    <w:basedOn w:val="DefaultParagraphFont"/>
    <w:link w:val="CommentText"/>
    <w:uiPriority w:val="99"/>
    <w:semiHidden/>
    <w:rsid w:val="00E63C3C"/>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E63C3C"/>
    <w:rPr>
      <w:b/>
      <w:bCs/>
    </w:rPr>
  </w:style>
  <w:style w:type="character" w:customStyle="1" w:styleId="CommentSubjectChar">
    <w:name w:val="Comment Subject Char"/>
    <w:basedOn w:val="CommentTextChar"/>
    <w:link w:val="CommentSubject"/>
    <w:uiPriority w:val="99"/>
    <w:semiHidden/>
    <w:rsid w:val="00E63C3C"/>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E63C3C"/>
    <w:rPr>
      <w:rFonts w:ascii="Tahoma" w:hAnsi="Tahoma" w:cs="Tahoma"/>
      <w:sz w:val="16"/>
      <w:szCs w:val="16"/>
    </w:rPr>
  </w:style>
  <w:style w:type="character" w:customStyle="1" w:styleId="BalloonTextChar">
    <w:name w:val="Balloon Text Char"/>
    <w:basedOn w:val="DefaultParagraphFont"/>
    <w:link w:val="BalloonText"/>
    <w:uiPriority w:val="99"/>
    <w:semiHidden/>
    <w:rsid w:val="00E63C3C"/>
    <w:rPr>
      <w:rFonts w:ascii="Tahoma" w:eastAsia="Times New Roman" w:hAnsi="Tahoma" w:cs="Tahoma"/>
      <w:sz w:val="16"/>
      <w:szCs w:val="16"/>
    </w:rPr>
  </w:style>
  <w:style w:type="paragraph" w:styleId="Header">
    <w:name w:val="header"/>
    <w:basedOn w:val="Normal"/>
    <w:link w:val="HeaderChar"/>
    <w:uiPriority w:val="99"/>
    <w:unhideWhenUsed/>
    <w:rsid w:val="007B4795"/>
    <w:pPr>
      <w:tabs>
        <w:tab w:val="center" w:pos="4680"/>
        <w:tab w:val="right" w:pos="9360"/>
      </w:tabs>
    </w:pPr>
  </w:style>
  <w:style w:type="character" w:customStyle="1" w:styleId="HeaderChar">
    <w:name w:val="Header Char"/>
    <w:basedOn w:val="DefaultParagraphFont"/>
    <w:link w:val="Header"/>
    <w:uiPriority w:val="99"/>
    <w:rsid w:val="007B4795"/>
    <w:rPr>
      <w:rFonts w:ascii="CG Times" w:eastAsia="Times New Roman" w:hAnsi="CG Times" w:cs="Times New Roman"/>
      <w:sz w:val="24"/>
      <w:szCs w:val="20"/>
    </w:rPr>
  </w:style>
  <w:style w:type="paragraph" w:styleId="Footer">
    <w:name w:val="footer"/>
    <w:basedOn w:val="Normal"/>
    <w:link w:val="FooterChar"/>
    <w:uiPriority w:val="99"/>
    <w:unhideWhenUsed/>
    <w:rsid w:val="007B4795"/>
    <w:pPr>
      <w:tabs>
        <w:tab w:val="center" w:pos="4680"/>
        <w:tab w:val="right" w:pos="9360"/>
      </w:tabs>
    </w:pPr>
  </w:style>
  <w:style w:type="character" w:customStyle="1" w:styleId="FooterChar">
    <w:name w:val="Footer Char"/>
    <w:basedOn w:val="DefaultParagraphFont"/>
    <w:link w:val="Footer"/>
    <w:uiPriority w:val="99"/>
    <w:rsid w:val="007B4795"/>
    <w:rPr>
      <w:rFonts w:ascii="CG Times" w:eastAsia="Times New Roman" w:hAnsi="CG Times"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342"/>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C61342"/>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342"/>
    <w:rPr>
      <w:rFonts w:ascii="Times New Roman" w:eastAsia="Times New Roman" w:hAnsi="Times New Roman" w:cs="Times New Roman"/>
      <w:b/>
      <w:sz w:val="24"/>
      <w:szCs w:val="20"/>
    </w:rPr>
  </w:style>
  <w:style w:type="paragraph" w:styleId="Title">
    <w:name w:val="Title"/>
    <w:basedOn w:val="Normal"/>
    <w:link w:val="TitleChar"/>
    <w:qFormat/>
    <w:rsid w:val="00C61342"/>
    <w:pPr>
      <w:jc w:val="center"/>
    </w:pPr>
    <w:rPr>
      <w:b/>
    </w:rPr>
  </w:style>
  <w:style w:type="character" w:customStyle="1" w:styleId="TitleChar">
    <w:name w:val="Title Char"/>
    <w:basedOn w:val="DefaultParagraphFont"/>
    <w:link w:val="Title"/>
    <w:rsid w:val="00C61342"/>
    <w:rPr>
      <w:rFonts w:ascii="CG Times" w:eastAsia="Times New Roman" w:hAnsi="CG Times" w:cs="Times New Roman"/>
      <w:b/>
      <w:sz w:val="24"/>
      <w:szCs w:val="20"/>
    </w:rPr>
  </w:style>
  <w:style w:type="paragraph" w:customStyle="1" w:styleId="FirmName">
    <w:name w:val="Firm Name"/>
    <w:basedOn w:val="Normal"/>
    <w:rsid w:val="00C61342"/>
    <w:pPr>
      <w:spacing w:line="245" w:lineRule="exact"/>
      <w:jc w:val="center"/>
    </w:pPr>
    <w:rPr>
      <w:rFonts w:ascii="Times New Roman" w:hAnsi="Times New Roman"/>
      <w:sz w:val="20"/>
    </w:rPr>
  </w:style>
  <w:style w:type="paragraph" w:styleId="ListParagraph">
    <w:name w:val="List Paragraph"/>
    <w:basedOn w:val="Normal"/>
    <w:uiPriority w:val="34"/>
    <w:qFormat/>
    <w:rsid w:val="00F978B5"/>
    <w:pPr>
      <w:ind w:left="720"/>
      <w:contextualSpacing/>
    </w:pPr>
  </w:style>
  <w:style w:type="character" w:styleId="CommentReference">
    <w:name w:val="annotation reference"/>
    <w:basedOn w:val="DefaultParagraphFont"/>
    <w:uiPriority w:val="99"/>
    <w:semiHidden/>
    <w:unhideWhenUsed/>
    <w:rsid w:val="00E63C3C"/>
    <w:rPr>
      <w:sz w:val="16"/>
      <w:szCs w:val="16"/>
    </w:rPr>
  </w:style>
  <w:style w:type="paragraph" w:styleId="CommentText">
    <w:name w:val="annotation text"/>
    <w:basedOn w:val="Normal"/>
    <w:link w:val="CommentTextChar"/>
    <w:uiPriority w:val="99"/>
    <w:semiHidden/>
    <w:unhideWhenUsed/>
    <w:rsid w:val="00E63C3C"/>
    <w:rPr>
      <w:sz w:val="20"/>
    </w:rPr>
  </w:style>
  <w:style w:type="character" w:customStyle="1" w:styleId="CommentTextChar">
    <w:name w:val="Comment Text Char"/>
    <w:basedOn w:val="DefaultParagraphFont"/>
    <w:link w:val="CommentText"/>
    <w:uiPriority w:val="99"/>
    <w:semiHidden/>
    <w:rsid w:val="00E63C3C"/>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E63C3C"/>
    <w:rPr>
      <w:b/>
      <w:bCs/>
    </w:rPr>
  </w:style>
  <w:style w:type="character" w:customStyle="1" w:styleId="CommentSubjectChar">
    <w:name w:val="Comment Subject Char"/>
    <w:basedOn w:val="CommentTextChar"/>
    <w:link w:val="CommentSubject"/>
    <w:uiPriority w:val="99"/>
    <w:semiHidden/>
    <w:rsid w:val="00E63C3C"/>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E63C3C"/>
    <w:rPr>
      <w:rFonts w:ascii="Tahoma" w:hAnsi="Tahoma" w:cs="Tahoma"/>
      <w:sz w:val="16"/>
      <w:szCs w:val="16"/>
    </w:rPr>
  </w:style>
  <w:style w:type="character" w:customStyle="1" w:styleId="BalloonTextChar">
    <w:name w:val="Balloon Text Char"/>
    <w:basedOn w:val="DefaultParagraphFont"/>
    <w:link w:val="BalloonText"/>
    <w:uiPriority w:val="99"/>
    <w:semiHidden/>
    <w:rsid w:val="00E63C3C"/>
    <w:rPr>
      <w:rFonts w:ascii="Tahoma" w:eastAsia="Times New Roman" w:hAnsi="Tahoma" w:cs="Tahoma"/>
      <w:sz w:val="16"/>
      <w:szCs w:val="16"/>
    </w:rPr>
  </w:style>
  <w:style w:type="paragraph" w:styleId="Header">
    <w:name w:val="header"/>
    <w:basedOn w:val="Normal"/>
    <w:link w:val="HeaderChar"/>
    <w:uiPriority w:val="99"/>
    <w:unhideWhenUsed/>
    <w:rsid w:val="007B4795"/>
    <w:pPr>
      <w:tabs>
        <w:tab w:val="center" w:pos="4680"/>
        <w:tab w:val="right" w:pos="9360"/>
      </w:tabs>
    </w:pPr>
  </w:style>
  <w:style w:type="character" w:customStyle="1" w:styleId="HeaderChar">
    <w:name w:val="Header Char"/>
    <w:basedOn w:val="DefaultParagraphFont"/>
    <w:link w:val="Header"/>
    <w:uiPriority w:val="99"/>
    <w:rsid w:val="007B4795"/>
    <w:rPr>
      <w:rFonts w:ascii="CG Times" w:eastAsia="Times New Roman" w:hAnsi="CG Times" w:cs="Times New Roman"/>
      <w:sz w:val="24"/>
      <w:szCs w:val="20"/>
    </w:rPr>
  </w:style>
  <w:style w:type="paragraph" w:styleId="Footer">
    <w:name w:val="footer"/>
    <w:basedOn w:val="Normal"/>
    <w:link w:val="FooterChar"/>
    <w:uiPriority w:val="99"/>
    <w:unhideWhenUsed/>
    <w:rsid w:val="007B4795"/>
    <w:pPr>
      <w:tabs>
        <w:tab w:val="center" w:pos="4680"/>
        <w:tab w:val="right" w:pos="9360"/>
      </w:tabs>
    </w:pPr>
  </w:style>
  <w:style w:type="character" w:customStyle="1" w:styleId="FooterChar">
    <w:name w:val="Footer Char"/>
    <w:basedOn w:val="DefaultParagraphFont"/>
    <w:link w:val="Footer"/>
    <w:uiPriority w:val="99"/>
    <w:rsid w:val="007B4795"/>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6663">
      <w:bodyDiv w:val="1"/>
      <w:marLeft w:val="0"/>
      <w:marRight w:val="0"/>
      <w:marTop w:val="0"/>
      <w:marBottom w:val="0"/>
      <w:divBdr>
        <w:top w:val="none" w:sz="0" w:space="0" w:color="auto"/>
        <w:left w:val="none" w:sz="0" w:space="0" w:color="auto"/>
        <w:bottom w:val="none" w:sz="0" w:space="0" w:color="auto"/>
        <w:right w:val="none" w:sz="0" w:space="0" w:color="auto"/>
      </w:divBdr>
      <w:divsChild>
        <w:div w:id="1091858132">
          <w:marLeft w:val="0"/>
          <w:marRight w:val="0"/>
          <w:marTop w:val="0"/>
          <w:marBottom w:val="0"/>
          <w:divBdr>
            <w:top w:val="none" w:sz="0" w:space="0" w:color="auto"/>
            <w:left w:val="none" w:sz="0" w:space="0" w:color="auto"/>
            <w:bottom w:val="none" w:sz="0" w:space="0" w:color="auto"/>
            <w:right w:val="none" w:sz="0" w:space="0" w:color="auto"/>
          </w:divBdr>
        </w:div>
        <w:div w:id="1422144153">
          <w:marLeft w:val="0"/>
          <w:marRight w:val="0"/>
          <w:marTop w:val="0"/>
          <w:marBottom w:val="0"/>
          <w:divBdr>
            <w:top w:val="none" w:sz="0" w:space="0" w:color="auto"/>
            <w:left w:val="none" w:sz="0" w:space="0" w:color="auto"/>
            <w:bottom w:val="none" w:sz="0" w:space="0" w:color="auto"/>
            <w:right w:val="none" w:sz="0" w:space="0" w:color="auto"/>
          </w:divBdr>
        </w:div>
        <w:div w:id="617756306">
          <w:marLeft w:val="0"/>
          <w:marRight w:val="0"/>
          <w:marTop w:val="0"/>
          <w:marBottom w:val="0"/>
          <w:divBdr>
            <w:top w:val="none" w:sz="0" w:space="0" w:color="auto"/>
            <w:left w:val="none" w:sz="0" w:space="0" w:color="auto"/>
            <w:bottom w:val="none" w:sz="0" w:space="0" w:color="auto"/>
            <w:right w:val="none" w:sz="0" w:space="0" w:color="auto"/>
          </w:divBdr>
        </w:div>
        <w:div w:id="548421096">
          <w:marLeft w:val="0"/>
          <w:marRight w:val="0"/>
          <w:marTop w:val="0"/>
          <w:marBottom w:val="0"/>
          <w:divBdr>
            <w:top w:val="none" w:sz="0" w:space="0" w:color="auto"/>
            <w:left w:val="none" w:sz="0" w:space="0" w:color="auto"/>
            <w:bottom w:val="none" w:sz="0" w:space="0" w:color="auto"/>
            <w:right w:val="none" w:sz="0" w:space="0" w:color="auto"/>
          </w:divBdr>
        </w:div>
        <w:div w:id="2101098773">
          <w:marLeft w:val="0"/>
          <w:marRight w:val="0"/>
          <w:marTop w:val="0"/>
          <w:marBottom w:val="0"/>
          <w:divBdr>
            <w:top w:val="none" w:sz="0" w:space="0" w:color="auto"/>
            <w:left w:val="none" w:sz="0" w:space="0" w:color="auto"/>
            <w:bottom w:val="none" w:sz="0" w:space="0" w:color="auto"/>
            <w:right w:val="none" w:sz="0" w:space="0" w:color="auto"/>
          </w:divBdr>
        </w:div>
        <w:div w:id="23481129">
          <w:marLeft w:val="0"/>
          <w:marRight w:val="0"/>
          <w:marTop w:val="0"/>
          <w:marBottom w:val="0"/>
          <w:divBdr>
            <w:top w:val="none" w:sz="0" w:space="0" w:color="auto"/>
            <w:left w:val="none" w:sz="0" w:space="0" w:color="auto"/>
            <w:bottom w:val="none" w:sz="0" w:space="0" w:color="auto"/>
            <w:right w:val="none" w:sz="0" w:space="0" w:color="auto"/>
          </w:divBdr>
        </w:div>
        <w:div w:id="255485733">
          <w:marLeft w:val="0"/>
          <w:marRight w:val="0"/>
          <w:marTop w:val="0"/>
          <w:marBottom w:val="0"/>
          <w:divBdr>
            <w:top w:val="none" w:sz="0" w:space="0" w:color="auto"/>
            <w:left w:val="none" w:sz="0" w:space="0" w:color="auto"/>
            <w:bottom w:val="none" w:sz="0" w:space="0" w:color="auto"/>
            <w:right w:val="none" w:sz="0" w:space="0" w:color="auto"/>
          </w:divBdr>
        </w:div>
      </w:divsChild>
    </w:div>
    <w:div w:id="358094633">
      <w:bodyDiv w:val="1"/>
      <w:marLeft w:val="0"/>
      <w:marRight w:val="0"/>
      <w:marTop w:val="0"/>
      <w:marBottom w:val="0"/>
      <w:divBdr>
        <w:top w:val="none" w:sz="0" w:space="0" w:color="auto"/>
        <w:left w:val="none" w:sz="0" w:space="0" w:color="auto"/>
        <w:bottom w:val="none" w:sz="0" w:space="0" w:color="auto"/>
        <w:right w:val="none" w:sz="0" w:space="0" w:color="auto"/>
      </w:divBdr>
    </w:div>
    <w:div w:id="513154854">
      <w:bodyDiv w:val="1"/>
      <w:marLeft w:val="60"/>
      <w:marRight w:val="60"/>
      <w:marTop w:val="60"/>
      <w:marBottom w:val="15"/>
      <w:divBdr>
        <w:top w:val="none" w:sz="0" w:space="0" w:color="auto"/>
        <w:left w:val="none" w:sz="0" w:space="0" w:color="auto"/>
        <w:bottom w:val="none" w:sz="0" w:space="0" w:color="auto"/>
        <w:right w:val="none" w:sz="0" w:space="0" w:color="auto"/>
      </w:divBdr>
      <w:divsChild>
        <w:div w:id="504325274">
          <w:marLeft w:val="0"/>
          <w:marRight w:val="0"/>
          <w:marTop w:val="0"/>
          <w:marBottom w:val="0"/>
          <w:divBdr>
            <w:top w:val="none" w:sz="0" w:space="0" w:color="auto"/>
            <w:left w:val="none" w:sz="0" w:space="0" w:color="auto"/>
            <w:bottom w:val="none" w:sz="0" w:space="0" w:color="auto"/>
            <w:right w:val="none" w:sz="0" w:space="0" w:color="auto"/>
          </w:divBdr>
        </w:div>
        <w:div w:id="261425515">
          <w:marLeft w:val="0"/>
          <w:marRight w:val="0"/>
          <w:marTop w:val="0"/>
          <w:marBottom w:val="0"/>
          <w:divBdr>
            <w:top w:val="none" w:sz="0" w:space="0" w:color="auto"/>
            <w:left w:val="none" w:sz="0" w:space="0" w:color="auto"/>
            <w:bottom w:val="none" w:sz="0" w:space="0" w:color="auto"/>
            <w:right w:val="none" w:sz="0" w:space="0" w:color="auto"/>
          </w:divBdr>
        </w:div>
        <w:div w:id="1400251380">
          <w:marLeft w:val="0"/>
          <w:marRight w:val="0"/>
          <w:marTop w:val="0"/>
          <w:marBottom w:val="0"/>
          <w:divBdr>
            <w:top w:val="none" w:sz="0" w:space="0" w:color="auto"/>
            <w:left w:val="none" w:sz="0" w:space="0" w:color="auto"/>
            <w:bottom w:val="none" w:sz="0" w:space="0" w:color="auto"/>
            <w:right w:val="none" w:sz="0" w:space="0" w:color="auto"/>
          </w:divBdr>
        </w:div>
        <w:div w:id="1292134981">
          <w:marLeft w:val="0"/>
          <w:marRight w:val="0"/>
          <w:marTop w:val="0"/>
          <w:marBottom w:val="0"/>
          <w:divBdr>
            <w:top w:val="none" w:sz="0" w:space="0" w:color="auto"/>
            <w:left w:val="none" w:sz="0" w:space="0" w:color="auto"/>
            <w:bottom w:val="none" w:sz="0" w:space="0" w:color="auto"/>
            <w:right w:val="none" w:sz="0" w:space="0" w:color="auto"/>
          </w:divBdr>
        </w:div>
        <w:div w:id="236286702">
          <w:marLeft w:val="0"/>
          <w:marRight w:val="0"/>
          <w:marTop w:val="0"/>
          <w:marBottom w:val="0"/>
          <w:divBdr>
            <w:top w:val="none" w:sz="0" w:space="0" w:color="auto"/>
            <w:left w:val="none" w:sz="0" w:space="0" w:color="auto"/>
            <w:bottom w:val="none" w:sz="0" w:space="0" w:color="auto"/>
            <w:right w:val="none" w:sz="0" w:space="0" w:color="auto"/>
          </w:divBdr>
        </w:div>
        <w:div w:id="1216040246">
          <w:marLeft w:val="0"/>
          <w:marRight w:val="0"/>
          <w:marTop w:val="0"/>
          <w:marBottom w:val="0"/>
          <w:divBdr>
            <w:top w:val="none" w:sz="0" w:space="0" w:color="auto"/>
            <w:left w:val="none" w:sz="0" w:space="0" w:color="auto"/>
            <w:bottom w:val="none" w:sz="0" w:space="0" w:color="auto"/>
            <w:right w:val="none" w:sz="0" w:space="0" w:color="auto"/>
          </w:divBdr>
        </w:div>
        <w:div w:id="1096098914">
          <w:marLeft w:val="0"/>
          <w:marRight w:val="0"/>
          <w:marTop w:val="0"/>
          <w:marBottom w:val="0"/>
          <w:divBdr>
            <w:top w:val="none" w:sz="0" w:space="0" w:color="auto"/>
            <w:left w:val="none" w:sz="0" w:space="0" w:color="auto"/>
            <w:bottom w:val="none" w:sz="0" w:space="0" w:color="auto"/>
            <w:right w:val="none" w:sz="0" w:space="0" w:color="auto"/>
          </w:divBdr>
        </w:div>
        <w:div w:id="1576936532">
          <w:marLeft w:val="0"/>
          <w:marRight w:val="0"/>
          <w:marTop w:val="0"/>
          <w:marBottom w:val="0"/>
          <w:divBdr>
            <w:top w:val="none" w:sz="0" w:space="0" w:color="auto"/>
            <w:left w:val="none" w:sz="0" w:space="0" w:color="auto"/>
            <w:bottom w:val="none" w:sz="0" w:space="0" w:color="auto"/>
            <w:right w:val="none" w:sz="0" w:space="0" w:color="auto"/>
          </w:divBdr>
        </w:div>
        <w:div w:id="1019967794">
          <w:marLeft w:val="0"/>
          <w:marRight w:val="0"/>
          <w:marTop w:val="0"/>
          <w:marBottom w:val="0"/>
          <w:divBdr>
            <w:top w:val="none" w:sz="0" w:space="0" w:color="auto"/>
            <w:left w:val="none" w:sz="0" w:space="0" w:color="auto"/>
            <w:bottom w:val="none" w:sz="0" w:space="0" w:color="auto"/>
            <w:right w:val="none" w:sz="0" w:space="0" w:color="auto"/>
          </w:divBdr>
        </w:div>
        <w:div w:id="782697130">
          <w:marLeft w:val="0"/>
          <w:marRight w:val="0"/>
          <w:marTop w:val="0"/>
          <w:marBottom w:val="0"/>
          <w:divBdr>
            <w:top w:val="none" w:sz="0" w:space="0" w:color="auto"/>
            <w:left w:val="none" w:sz="0" w:space="0" w:color="auto"/>
            <w:bottom w:val="none" w:sz="0" w:space="0" w:color="auto"/>
            <w:right w:val="none" w:sz="0" w:space="0" w:color="auto"/>
          </w:divBdr>
        </w:div>
        <w:div w:id="769543161">
          <w:marLeft w:val="0"/>
          <w:marRight w:val="0"/>
          <w:marTop w:val="0"/>
          <w:marBottom w:val="0"/>
          <w:divBdr>
            <w:top w:val="none" w:sz="0" w:space="0" w:color="auto"/>
            <w:left w:val="none" w:sz="0" w:space="0" w:color="auto"/>
            <w:bottom w:val="none" w:sz="0" w:space="0" w:color="auto"/>
            <w:right w:val="none" w:sz="0" w:space="0" w:color="auto"/>
          </w:divBdr>
        </w:div>
      </w:divsChild>
    </w:div>
    <w:div w:id="633561810">
      <w:bodyDiv w:val="1"/>
      <w:marLeft w:val="0"/>
      <w:marRight w:val="0"/>
      <w:marTop w:val="0"/>
      <w:marBottom w:val="0"/>
      <w:divBdr>
        <w:top w:val="none" w:sz="0" w:space="0" w:color="auto"/>
        <w:left w:val="none" w:sz="0" w:space="0" w:color="auto"/>
        <w:bottom w:val="none" w:sz="0" w:space="0" w:color="auto"/>
        <w:right w:val="none" w:sz="0" w:space="0" w:color="auto"/>
      </w:divBdr>
      <w:divsChild>
        <w:div w:id="672924393">
          <w:marLeft w:val="0"/>
          <w:marRight w:val="0"/>
          <w:marTop w:val="0"/>
          <w:marBottom w:val="0"/>
          <w:divBdr>
            <w:top w:val="none" w:sz="0" w:space="0" w:color="auto"/>
            <w:left w:val="none" w:sz="0" w:space="0" w:color="auto"/>
            <w:bottom w:val="none" w:sz="0" w:space="0" w:color="auto"/>
            <w:right w:val="none" w:sz="0" w:space="0" w:color="auto"/>
          </w:divBdr>
        </w:div>
        <w:div w:id="529805295">
          <w:marLeft w:val="0"/>
          <w:marRight w:val="0"/>
          <w:marTop w:val="0"/>
          <w:marBottom w:val="0"/>
          <w:divBdr>
            <w:top w:val="none" w:sz="0" w:space="0" w:color="auto"/>
            <w:left w:val="none" w:sz="0" w:space="0" w:color="auto"/>
            <w:bottom w:val="none" w:sz="0" w:space="0" w:color="auto"/>
            <w:right w:val="none" w:sz="0" w:space="0" w:color="auto"/>
          </w:divBdr>
        </w:div>
        <w:div w:id="220137484">
          <w:marLeft w:val="0"/>
          <w:marRight w:val="0"/>
          <w:marTop w:val="0"/>
          <w:marBottom w:val="0"/>
          <w:divBdr>
            <w:top w:val="none" w:sz="0" w:space="0" w:color="auto"/>
            <w:left w:val="none" w:sz="0" w:space="0" w:color="auto"/>
            <w:bottom w:val="none" w:sz="0" w:space="0" w:color="auto"/>
            <w:right w:val="none" w:sz="0" w:space="0" w:color="auto"/>
          </w:divBdr>
        </w:div>
        <w:div w:id="1248614334">
          <w:marLeft w:val="0"/>
          <w:marRight w:val="0"/>
          <w:marTop w:val="0"/>
          <w:marBottom w:val="0"/>
          <w:divBdr>
            <w:top w:val="none" w:sz="0" w:space="0" w:color="auto"/>
            <w:left w:val="none" w:sz="0" w:space="0" w:color="auto"/>
            <w:bottom w:val="none" w:sz="0" w:space="0" w:color="auto"/>
            <w:right w:val="none" w:sz="0" w:space="0" w:color="auto"/>
          </w:divBdr>
        </w:div>
        <w:div w:id="872577417">
          <w:marLeft w:val="0"/>
          <w:marRight w:val="0"/>
          <w:marTop w:val="0"/>
          <w:marBottom w:val="0"/>
          <w:divBdr>
            <w:top w:val="none" w:sz="0" w:space="0" w:color="auto"/>
            <w:left w:val="none" w:sz="0" w:space="0" w:color="auto"/>
            <w:bottom w:val="none" w:sz="0" w:space="0" w:color="auto"/>
            <w:right w:val="none" w:sz="0" w:space="0" w:color="auto"/>
          </w:divBdr>
        </w:div>
        <w:div w:id="880365956">
          <w:marLeft w:val="0"/>
          <w:marRight w:val="0"/>
          <w:marTop w:val="0"/>
          <w:marBottom w:val="0"/>
          <w:divBdr>
            <w:top w:val="none" w:sz="0" w:space="0" w:color="auto"/>
            <w:left w:val="none" w:sz="0" w:space="0" w:color="auto"/>
            <w:bottom w:val="none" w:sz="0" w:space="0" w:color="auto"/>
            <w:right w:val="none" w:sz="0" w:space="0" w:color="auto"/>
          </w:divBdr>
        </w:div>
        <w:div w:id="1425760714">
          <w:marLeft w:val="0"/>
          <w:marRight w:val="0"/>
          <w:marTop w:val="0"/>
          <w:marBottom w:val="0"/>
          <w:divBdr>
            <w:top w:val="none" w:sz="0" w:space="0" w:color="auto"/>
            <w:left w:val="none" w:sz="0" w:space="0" w:color="auto"/>
            <w:bottom w:val="none" w:sz="0" w:space="0" w:color="auto"/>
            <w:right w:val="none" w:sz="0" w:space="0" w:color="auto"/>
          </w:divBdr>
        </w:div>
        <w:div w:id="899361716">
          <w:marLeft w:val="0"/>
          <w:marRight w:val="0"/>
          <w:marTop w:val="0"/>
          <w:marBottom w:val="0"/>
          <w:divBdr>
            <w:top w:val="none" w:sz="0" w:space="0" w:color="auto"/>
            <w:left w:val="none" w:sz="0" w:space="0" w:color="auto"/>
            <w:bottom w:val="none" w:sz="0" w:space="0" w:color="auto"/>
            <w:right w:val="none" w:sz="0" w:space="0" w:color="auto"/>
          </w:divBdr>
        </w:div>
        <w:div w:id="585385720">
          <w:marLeft w:val="0"/>
          <w:marRight w:val="0"/>
          <w:marTop w:val="0"/>
          <w:marBottom w:val="0"/>
          <w:divBdr>
            <w:top w:val="none" w:sz="0" w:space="0" w:color="auto"/>
            <w:left w:val="none" w:sz="0" w:space="0" w:color="auto"/>
            <w:bottom w:val="none" w:sz="0" w:space="0" w:color="auto"/>
            <w:right w:val="none" w:sz="0" w:space="0" w:color="auto"/>
          </w:divBdr>
        </w:div>
        <w:div w:id="871767491">
          <w:marLeft w:val="0"/>
          <w:marRight w:val="0"/>
          <w:marTop w:val="0"/>
          <w:marBottom w:val="0"/>
          <w:divBdr>
            <w:top w:val="none" w:sz="0" w:space="0" w:color="auto"/>
            <w:left w:val="none" w:sz="0" w:space="0" w:color="auto"/>
            <w:bottom w:val="none" w:sz="0" w:space="0" w:color="auto"/>
            <w:right w:val="none" w:sz="0" w:space="0" w:color="auto"/>
          </w:divBdr>
        </w:div>
        <w:div w:id="1165631461">
          <w:marLeft w:val="0"/>
          <w:marRight w:val="0"/>
          <w:marTop w:val="0"/>
          <w:marBottom w:val="0"/>
          <w:divBdr>
            <w:top w:val="none" w:sz="0" w:space="0" w:color="auto"/>
            <w:left w:val="none" w:sz="0" w:space="0" w:color="auto"/>
            <w:bottom w:val="none" w:sz="0" w:space="0" w:color="auto"/>
            <w:right w:val="none" w:sz="0" w:space="0" w:color="auto"/>
          </w:divBdr>
        </w:div>
        <w:div w:id="725447043">
          <w:marLeft w:val="0"/>
          <w:marRight w:val="0"/>
          <w:marTop w:val="0"/>
          <w:marBottom w:val="0"/>
          <w:divBdr>
            <w:top w:val="none" w:sz="0" w:space="0" w:color="auto"/>
            <w:left w:val="none" w:sz="0" w:space="0" w:color="auto"/>
            <w:bottom w:val="none" w:sz="0" w:space="0" w:color="auto"/>
            <w:right w:val="none" w:sz="0" w:space="0" w:color="auto"/>
          </w:divBdr>
        </w:div>
        <w:div w:id="1405763964">
          <w:marLeft w:val="0"/>
          <w:marRight w:val="0"/>
          <w:marTop w:val="0"/>
          <w:marBottom w:val="0"/>
          <w:divBdr>
            <w:top w:val="none" w:sz="0" w:space="0" w:color="auto"/>
            <w:left w:val="none" w:sz="0" w:space="0" w:color="auto"/>
            <w:bottom w:val="none" w:sz="0" w:space="0" w:color="auto"/>
            <w:right w:val="none" w:sz="0" w:space="0" w:color="auto"/>
          </w:divBdr>
        </w:div>
        <w:div w:id="12876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5B4EA-9BE9-3249-8758-51207548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6912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johndoe</dc:creator>
  <cp:lastModifiedBy>Northrup</cp:lastModifiedBy>
  <cp:revision>3</cp:revision>
  <cp:lastPrinted>2013-12-05T04:28:00Z</cp:lastPrinted>
  <dcterms:created xsi:type="dcterms:W3CDTF">2013-12-05T16:22:00Z</dcterms:created>
  <dcterms:modified xsi:type="dcterms:W3CDTF">2013-12-05T16:22:00Z</dcterms:modified>
</cp:coreProperties>
</file>